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095860676"/>
        <w:docPartObj>
          <w:docPartGallery w:val="Cover Pages"/>
          <w:docPartUnique/>
        </w:docPartObj>
      </w:sdtPr>
      <w:sdtEndPr/>
      <w:sdtContent>
        <w:p w14:paraId="76596A09" w14:textId="77777777" w:rsidR="009E4461" w:rsidRDefault="009E4461">
          <w:r>
            <w:rPr>
              <w:noProof/>
              <w:lang w:eastAsia="en-AU"/>
            </w:rPr>
            <w:drawing>
              <wp:anchor distT="0" distB="0" distL="114300" distR="114300" simplePos="0" relativeHeight="251658240" behindDoc="0" locked="0" layoutInCell="1" allowOverlap="1" wp14:anchorId="3C725DA4" wp14:editId="0A7F3F90">
                <wp:simplePos x="0" y="0"/>
                <wp:positionH relativeFrom="column">
                  <wp:posOffset>-925033</wp:posOffset>
                </wp:positionH>
                <wp:positionV relativeFrom="paragraph">
                  <wp:posOffset>-924730</wp:posOffset>
                </wp:positionV>
                <wp:extent cx="7583349" cy="1072244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ife - Cov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83349" cy="10722445"/>
                        </a:xfrm>
                        <a:prstGeom prst="rect">
                          <a:avLst/>
                        </a:prstGeom>
                      </pic:spPr>
                    </pic:pic>
                  </a:graphicData>
                </a:graphic>
                <wp14:sizeRelH relativeFrom="page">
                  <wp14:pctWidth>0</wp14:pctWidth>
                </wp14:sizeRelH>
                <wp14:sizeRelV relativeFrom="page">
                  <wp14:pctHeight>0</wp14:pctHeight>
                </wp14:sizeRelV>
              </wp:anchor>
            </w:drawing>
          </w:r>
        </w:p>
        <w:p w14:paraId="5F45DE64" w14:textId="77777777" w:rsidR="009E4461" w:rsidRDefault="009E4461"/>
        <w:p w14:paraId="16719DBD" w14:textId="77777777" w:rsidR="009E4461" w:rsidRDefault="009E4461"/>
        <w:p w14:paraId="33E918A7" w14:textId="417E8971" w:rsidR="009E4461" w:rsidRDefault="009E4461">
          <w:r w:rsidRPr="009E4461">
            <w:rPr>
              <w:noProof/>
              <w:lang w:eastAsia="en-AU"/>
            </w:rPr>
            <mc:AlternateContent>
              <mc:Choice Requires="wps">
                <w:drawing>
                  <wp:anchor distT="0" distB="0" distL="114300" distR="114300" simplePos="0" relativeHeight="251661312" behindDoc="0" locked="0" layoutInCell="1" allowOverlap="1" wp14:anchorId="4EB628C4" wp14:editId="0AA7B209">
                    <wp:simplePos x="0" y="0"/>
                    <wp:positionH relativeFrom="column">
                      <wp:posOffset>-495300</wp:posOffset>
                    </wp:positionH>
                    <wp:positionV relativeFrom="paragraph">
                      <wp:posOffset>6940868</wp:posOffset>
                    </wp:positionV>
                    <wp:extent cx="4500563" cy="140398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563" cy="1403985"/>
                            </a:xfrm>
                            <a:prstGeom prst="rect">
                              <a:avLst/>
                            </a:prstGeom>
                            <a:noFill/>
                            <a:ln w="9525">
                              <a:noFill/>
                              <a:miter lim="800000"/>
                              <a:headEnd/>
                              <a:tailEnd/>
                            </a:ln>
                          </wps:spPr>
                          <wps:txbx>
                            <w:txbxContent>
                              <w:p w14:paraId="2F79D262" w14:textId="0334123C" w:rsidR="009E4461" w:rsidRPr="002D26EB" w:rsidRDefault="006912D4" w:rsidP="009E4461">
                                <w:pPr>
                                  <w:spacing w:after="0" w:line="240" w:lineRule="auto"/>
                                  <w:rPr>
                                    <w:rFonts w:ascii="DaxOT-Regular" w:hAnsi="DaxOT-Regular"/>
                                    <w:color w:val="002060"/>
                                    <w:sz w:val="36"/>
                                    <w:szCs w:val="36"/>
                                  </w:rPr>
                                </w:pPr>
                                <w:r>
                                  <w:rPr>
                                    <w:rFonts w:ascii="DaxOT-Regular" w:hAnsi="DaxOT-Regular"/>
                                    <w:color w:val="002060"/>
                                    <w:sz w:val="44"/>
                                    <w:szCs w:val="44"/>
                                  </w:rPr>
                                  <w:t xml:space="preserve">Changes to </w:t>
                                </w:r>
                                <w:r w:rsidR="00396345">
                                  <w:rPr>
                                    <w:rFonts w:ascii="DaxOT-Regular" w:hAnsi="DaxOT-Regular"/>
                                    <w:color w:val="002060"/>
                                    <w:sz w:val="44"/>
                                    <w:szCs w:val="44"/>
                                  </w:rPr>
                                  <w:t>C</w:t>
                                </w:r>
                                <w:r>
                                  <w:rPr>
                                    <w:rFonts w:ascii="DaxOT-Regular" w:hAnsi="DaxOT-Regular"/>
                                    <w:color w:val="002060"/>
                                    <w:sz w:val="44"/>
                                    <w:szCs w:val="44"/>
                                  </w:rPr>
                                  <w:t xml:space="preserve">ommunity </w:t>
                                </w:r>
                                <w:r w:rsidR="00396345">
                                  <w:rPr>
                                    <w:rFonts w:ascii="DaxOT-Regular" w:hAnsi="DaxOT-Regular"/>
                                    <w:color w:val="002060"/>
                                    <w:sz w:val="44"/>
                                    <w:szCs w:val="44"/>
                                  </w:rPr>
                                  <w:t>E</w:t>
                                </w:r>
                                <w:r>
                                  <w:rPr>
                                    <w:rFonts w:ascii="DaxOT-Regular" w:hAnsi="DaxOT-Regular"/>
                                    <w:color w:val="002060"/>
                                    <w:sz w:val="44"/>
                                    <w:szCs w:val="44"/>
                                  </w:rPr>
                                  <w:t xml:space="preserve">ngagement </w:t>
                                </w:r>
                              </w:p>
                              <w:p w14:paraId="6F88CDBE" w14:textId="77777777" w:rsidR="009E4461" w:rsidRPr="003C2A03" w:rsidRDefault="009E4461" w:rsidP="009E4461">
                                <w:pPr>
                                  <w:jc w:val="both"/>
                                  <w:rPr>
                                    <w:rFonts w:ascii="DaxOT-Regular" w:hAnsi="DaxOT-Regular"/>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B628C4" id="_x0000_t202" coordsize="21600,21600" o:spt="202" path="m,l,21600r21600,l21600,xe">
                    <v:stroke joinstyle="miter"/>
                    <v:path gradientshapeok="t" o:connecttype="rect"/>
                  </v:shapetype>
                  <v:shape id="Text Box 2" o:spid="_x0000_s1026" type="#_x0000_t202" style="position:absolute;margin-left:-39pt;margin-top:546.55pt;width:354.4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ByDQIAAPMDAAAOAAAAZHJzL2Uyb0RvYy54bWysU21v2yAQ/j5p/wHxfbHjxl1ixam6dpkm&#10;dS9Sux+AMY7RgGNAYme/vgdO02j7No0PCLi75+557ljfjFqRg3BegqnpfJZTIgyHVppdTX88bd8t&#10;KfGBmZYpMKKmR+Hpzebtm/VgK1FAD6oVjiCI8dVga9qHYKss87wXmvkZWGHQ2IHTLODV7bLWsQHR&#10;tcqKPL/OBnCtdcCF9/h6PxnpJuF3neDhW9d5EYiqKdYW0u7S3sQ926xZtXPM9pKfymD/UIVm0mDS&#10;M9Q9C4zsnfwLSkvuwEMXZhx0Bl0nuUgckM08/4PNY8+sSFxQHG/PMvn/B8u/Hr47ItuaFpQYprFF&#10;T2IM5AOMpIjqDNZX6PRo0S2M+IxdTky9fQD+0xMDdz0zO3HrHAy9YC1WN4+R2UXohOMjSDN8gRbT&#10;sH2ABDR2TkfpUAyC6Nil47kzsRSOj4syz8vrK0o42uaL/Gq1LFMOVr2EW+fDJwGaxENNHbY+wbPD&#10;gw+xHFa9uMRsBrZSqdR+ZchQ01VZlCngwqJlwOlUUtd0mcc1zUtk+dG0KTgwqaYzJlDmRDsynTiH&#10;sRnRMWrRQHtEARxMU4i/Bg89uN+UDDiBNfW/9swJStRngyKu5otFHNl0WZTvC7y4S0tzaWGGI1RN&#10;AyXT8S6kMY9cvb1FsbcyyfBayalWnKykzukXxNG9vCev17+6eQYAAP//AwBQSwMEFAAGAAgAAAAh&#10;AMgypTfhAAAADQEAAA8AAABkcnMvZG93bnJldi54bWxMj8FOwzAQRO9I/IO1SNxaOwlqSxqnqlBb&#10;jpQScXZjN4mI11bspuHvWU5w3JnR7LxiM9mejWYInUMJyVwAM1g73WEjofrYz1bAQlSoVe/QSPg2&#10;ATbl/V2hcu1u+G7GU2wYlWDIlYQ2Rp9zHurWWBXmzhsk7+IGqyKdQ8P1oG5UbnueCrHgVnVIH1rl&#10;zUtr6q/T1Urw0R+Wr8Pbcbvbj6L6PFRp1+ykfHyYtmtg0UzxLwy/82k6lLTp7K6oA+slzJYrYolk&#10;iOcsAUaRRSaI5kxSljylwMuC/6cofwAAAP//AwBQSwECLQAUAAYACAAAACEAtoM4kv4AAADhAQAA&#10;EwAAAAAAAAAAAAAAAAAAAAAAW0NvbnRlbnRfVHlwZXNdLnhtbFBLAQItABQABgAIAAAAIQA4/SH/&#10;1gAAAJQBAAALAAAAAAAAAAAAAAAAAC8BAABfcmVscy8ucmVsc1BLAQItABQABgAIAAAAIQD+y8By&#10;DQIAAPMDAAAOAAAAAAAAAAAAAAAAAC4CAABkcnMvZTJvRG9jLnhtbFBLAQItABQABgAIAAAAIQDI&#10;MqU34QAAAA0BAAAPAAAAAAAAAAAAAAAAAGcEAABkcnMvZG93bnJldi54bWxQSwUGAAAAAAQABADz&#10;AAAAdQUAAAAA&#10;" filled="f" stroked="f">
                    <v:textbox style="mso-fit-shape-to-text:t">
                      <w:txbxContent>
                        <w:p w14:paraId="2F79D262" w14:textId="0334123C" w:rsidR="009E4461" w:rsidRPr="002D26EB" w:rsidRDefault="006912D4" w:rsidP="009E4461">
                          <w:pPr>
                            <w:spacing w:after="0" w:line="240" w:lineRule="auto"/>
                            <w:rPr>
                              <w:rFonts w:ascii="DaxOT-Regular" w:hAnsi="DaxOT-Regular"/>
                              <w:color w:val="002060"/>
                              <w:sz w:val="36"/>
                              <w:szCs w:val="36"/>
                            </w:rPr>
                          </w:pPr>
                          <w:r>
                            <w:rPr>
                              <w:rFonts w:ascii="DaxOT-Regular" w:hAnsi="DaxOT-Regular"/>
                              <w:color w:val="002060"/>
                              <w:sz w:val="44"/>
                              <w:szCs w:val="44"/>
                            </w:rPr>
                            <w:t xml:space="preserve">Changes to </w:t>
                          </w:r>
                          <w:r w:rsidR="00396345">
                            <w:rPr>
                              <w:rFonts w:ascii="DaxOT-Regular" w:hAnsi="DaxOT-Regular"/>
                              <w:color w:val="002060"/>
                              <w:sz w:val="44"/>
                              <w:szCs w:val="44"/>
                            </w:rPr>
                            <w:t>C</w:t>
                          </w:r>
                          <w:r>
                            <w:rPr>
                              <w:rFonts w:ascii="DaxOT-Regular" w:hAnsi="DaxOT-Regular"/>
                              <w:color w:val="002060"/>
                              <w:sz w:val="44"/>
                              <w:szCs w:val="44"/>
                            </w:rPr>
                            <w:t xml:space="preserve">ommunity </w:t>
                          </w:r>
                          <w:r w:rsidR="00396345">
                            <w:rPr>
                              <w:rFonts w:ascii="DaxOT-Regular" w:hAnsi="DaxOT-Regular"/>
                              <w:color w:val="002060"/>
                              <w:sz w:val="44"/>
                              <w:szCs w:val="44"/>
                            </w:rPr>
                            <w:t>E</w:t>
                          </w:r>
                          <w:r>
                            <w:rPr>
                              <w:rFonts w:ascii="DaxOT-Regular" w:hAnsi="DaxOT-Regular"/>
                              <w:color w:val="002060"/>
                              <w:sz w:val="44"/>
                              <w:szCs w:val="44"/>
                            </w:rPr>
                            <w:t xml:space="preserve">ngagement </w:t>
                          </w:r>
                        </w:p>
                        <w:p w14:paraId="6F88CDBE" w14:textId="77777777" w:rsidR="009E4461" w:rsidRPr="003C2A03" w:rsidRDefault="009E4461" w:rsidP="009E4461">
                          <w:pPr>
                            <w:jc w:val="both"/>
                            <w:rPr>
                              <w:rFonts w:ascii="DaxOT-Regular" w:hAnsi="DaxOT-Regular"/>
                            </w:rPr>
                          </w:pPr>
                        </w:p>
                      </w:txbxContent>
                    </v:textbox>
                  </v:shape>
                </w:pict>
              </mc:Fallback>
            </mc:AlternateContent>
          </w:r>
          <w:r w:rsidRPr="009E4461">
            <w:rPr>
              <w:noProof/>
              <w:lang w:eastAsia="en-AU"/>
            </w:rPr>
            <mc:AlternateContent>
              <mc:Choice Requires="wps">
                <w:drawing>
                  <wp:anchor distT="0" distB="0" distL="114300" distR="114300" simplePos="0" relativeHeight="251660288" behindDoc="0" locked="0" layoutInCell="1" allowOverlap="1" wp14:anchorId="5DBC1C6D" wp14:editId="149B6C13">
                    <wp:simplePos x="0" y="0"/>
                    <wp:positionH relativeFrom="column">
                      <wp:posOffset>-517525</wp:posOffset>
                    </wp:positionH>
                    <wp:positionV relativeFrom="paragraph">
                      <wp:posOffset>5718175</wp:posOffset>
                    </wp:positionV>
                    <wp:extent cx="6256020" cy="12388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1238885"/>
                            </a:xfrm>
                            <a:prstGeom prst="rect">
                              <a:avLst/>
                            </a:prstGeom>
                            <a:noFill/>
                            <a:ln w="9525">
                              <a:noFill/>
                              <a:miter lim="800000"/>
                              <a:headEnd/>
                              <a:tailEnd/>
                            </a:ln>
                          </wps:spPr>
                          <wps:txbx>
                            <w:txbxContent>
                              <w:p w14:paraId="25C48E0F" w14:textId="0D6CB5A5" w:rsidR="009E4461" w:rsidRPr="002D26EB" w:rsidRDefault="006912D4" w:rsidP="009E4461">
                                <w:pPr>
                                  <w:pStyle w:val="Footer"/>
                                  <w:rPr>
                                    <w:rFonts w:ascii="Calibri Light" w:eastAsiaTheme="majorEastAsia" w:hAnsi="Calibri Light" w:cstheme="majorBidi"/>
                                    <w:b/>
                                    <w:color w:val="002060"/>
                                    <w:sz w:val="72"/>
                                    <w:szCs w:val="72"/>
                                  </w:rPr>
                                </w:pPr>
                                <w:r>
                                  <w:rPr>
                                    <w:rFonts w:ascii="Calibri Light" w:eastAsiaTheme="majorEastAsia" w:hAnsi="Calibri Light" w:cstheme="majorBidi"/>
                                    <w:b/>
                                    <w:color w:val="002060"/>
                                    <w:sz w:val="72"/>
                                    <w:szCs w:val="72"/>
                                  </w:rPr>
                                  <w:t>Local Government Act 2020</w:t>
                                </w:r>
                              </w:p>
                              <w:p w14:paraId="008A9538" w14:textId="77777777" w:rsidR="009E4461" w:rsidRPr="003C2A03" w:rsidRDefault="009E4461" w:rsidP="009E4461">
                                <w:pPr>
                                  <w:rPr>
                                    <w:rFonts w:ascii="DaxOT-Medium" w:hAnsi="DaxOT-Medium"/>
                                    <w:color w:val="7030A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C1C6D" id="_x0000_s1027" type="#_x0000_t202" style="position:absolute;margin-left:-40.75pt;margin-top:450.25pt;width:492.6pt;height:9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e0DwIAAPwDAAAOAAAAZHJzL2Uyb0RvYy54bWysU11v2yAUfZ+0/4B4X+y4SZpaIVXXrtOk&#10;7kNq9wMIxjEacBmQ2Nmv3wWnabS+VfODBVzuufece1hdD0aTvfRBgWV0OikpkVZAo+yW0Z9P9x+W&#10;lITIbcM1WMnoQQZ6vX7/btW7WlbQgW6kJwhiQ907RrsYXV0UQXTS8DABJy0GW/CGR9z6bdF43iO6&#10;0UVVlouiB984D0KGgKd3Y5CuM37bShG/t22QkWhGsbeY/z7/N+lfrFe83nruOiWObfA3dGG4slj0&#10;BHXHIyc7r15BGSU8BGjjRIApoG2VkJkDspmW/7B57LiTmQuKE9xJpvD/YMW3/Q9PVMPoRXlJieUG&#10;h/Qkh0g+wkCqpE/vQo3XHh1ejAMe45wz1+AeQPwKxMJtx+1W3ngPfSd5g/1NU2ZxljrihASy6b9C&#10;g2X4LkIGGlpvkngoB0F0nNPhNJvUisDDRTVflBWGBMam1cVyuZznGrx+Tnc+xM8SDEkLRj0OP8Pz&#10;/UOIqR1eP19J1SzcK62zAbQlPaNX82qeE84iRkX0p1aG0WWZvtExieUn2+TkyJUe11hA2yPtxHTk&#10;HIfNkBXOmiRJNtAcUAcPox3x+eCiA/+Hkh6tyGj4veNeUqK/WNTyajqbJe/mzWx+mVTw55HNeYRb&#10;gVCMRkrG5W3Mfh8p36DmrcpqvHRybBktlkU6Pofk4fN9vvXyaNd/AQAA//8DAFBLAwQUAAYACAAA&#10;ACEAmZR9Bt8AAAAMAQAADwAAAGRycy9kb3ducmV2LnhtbEyPwU7DMAyG70h7h8iTuG3JgI61NJ0Q&#10;iOvQBpvELWu8tqJxqiZby9vjneBmy59+f3++Hl0rLtiHxpOGxVyBQCq9bajS8PnxNluBCNGQNa0n&#10;1PCDAdbF5CY3mfUDbfGyi5XgEAqZ0VDH2GVShrJGZ8Lcd0h8O/nemchrX0nbm4HDXSvvlFpKZxri&#10;D7Xp8KXG8nt3dhr2m9PX4UG9V68u6QY/KkkulVrfTsfnJxARx/gHw1Wf1aFgp6M/kw2i1TBbLRJG&#10;NaRK8cBEqu4fQRwZVWmyBFnk8n+J4hcAAP//AwBQSwECLQAUAAYACAAAACEAtoM4kv4AAADhAQAA&#10;EwAAAAAAAAAAAAAAAAAAAAAAW0NvbnRlbnRfVHlwZXNdLnhtbFBLAQItABQABgAIAAAAIQA4/SH/&#10;1gAAAJQBAAALAAAAAAAAAAAAAAAAAC8BAABfcmVscy8ucmVsc1BLAQItABQABgAIAAAAIQCaLDe0&#10;DwIAAPwDAAAOAAAAAAAAAAAAAAAAAC4CAABkcnMvZTJvRG9jLnhtbFBLAQItABQABgAIAAAAIQCZ&#10;lH0G3wAAAAwBAAAPAAAAAAAAAAAAAAAAAGkEAABkcnMvZG93bnJldi54bWxQSwUGAAAAAAQABADz&#10;AAAAdQUAAAAA&#10;" filled="f" stroked="f">
                    <v:textbox>
                      <w:txbxContent>
                        <w:p w14:paraId="25C48E0F" w14:textId="0D6CB5A5" w:rsidR="009E4461" w:rsidRPr="002D26EB" w:rsidRDefault="006912D4" w:rsidP="009E4461">
                          <w:pPr>
                            <w:pStyle w:val="Footer"/>
                            <w:rPr>
                              <w:rFonts w:ascii="Calibri Light" w:eastAsiaTheme="majorEastAsia" w:hAnsi="Calibri Light" w:cstheme="majorBidi"/>
                              <w:b/>
                              <w:color w:val="002060"/>
                              <w:sz w:val="72"/>
                              <w:szCs w:val="72"/>
                            </w:rPr>
                          </w:pPr>
                          <w:r>
                            <w:rPr>
                              <w:rFonts w:ascii="Calibri Light" w:eastAsiaTheme="majorEastAsia" w:hAnsi="Calibri Light" w:cstheme="majorBidi"/>
                              <w:b/>
                              <w:color w:val="002060"/>
                              <w:sz w:val="72"/>
                              <w:szCs w:val="72"/>
                            </w:rPr>
                            <w:t>Local Government Act 2020</w:t>
                          </w:r>
                        </w:p>
                        <w:p w14:paraId="008A9538" w14:textId="77777777" w:rsidR="009E4461" w:rsidRPr="003C2A03" w:rsidRDefault="009E4461" w:rsidP="009E4461">
                          <w:pPr>
                            <w:rPr>
                              <w:rFonts w:ascii="DaxOT-Medium" w:hAnsi="DaxOT-Medium"/>
                              <w:color w:val="7030A0"/>
                            </w:rPr>
                          </w:pPr>
                        </w:p>
                      </w:txbxContent>
                    </v:textbox>
                  </v:shape>
                </w:pict>
              </mc:Fallback>
            </mc:AlternateContent>
          </w:r>
          <w:r>
            <w:br w:type="page"/>
          </w:r>
        </w:p>
      </w:sdtContent>
    </w:sdt>
    <w:p w14:paraId="1569EE13" w14:textId="77777777" w:rsidR="006912D4" w:rsidRPr="006912D4" w:rsidRDefault="006912D4" w:rsidP="006912D4">
      <w:pPr>
        <w:pStyle w:val="Body01"/>
        <w:rPr>
          <w:rFonts w:asciiTheme="minorHAnsi" w:hAnsiTheme="minorHAnsi"/>
          <w:sz w:val="24"/>
          <w:szCs w:val="24"/>
        </w:rPr>
      </w:pPr>
      <w:r w:rsidRPr="006912D4">
        <w:rPr>
          <w:rFonts w:asciiTheme="minorHAnsi" w:hAnsiTheme="minorHAnsi"/>
          <w:sz w:val="24"/>
          <w:szCs w:val="24"/>
        </w:rPr>
        <w:lastRenderedPageBreak/>
        <w:t xml:space="preserve">The Local Government Act 2020 (the Act) states that each council must adopt and maintain a Community Engagement Policy (the Policy). This policy must be in place by 1 March 2021. </w:t>
      </w:r>
    </w:p>
    <w:p w14:paraId="291FB640" w14:textId="77777777" w:rsidR="006912D4" w:rsidRPr="006912D4" w:rsidRDefault="006912D4" w:rsidP="006912D4">
      <w:pPr>
        <w:pStyle w:val="Body01"/>
        <w:rPr>
          <w:rFonts w:asciiTheme="minorHAnsi" w:hAnsiTheme="minorHAnsi"/>
          <w:sz w:val="24"/>
          <w:szCs w:val="24"/>
        </w:rPr>
      </w:pPr>
    </w:p>
    <w:p w14:paraId="573CBFF5" w14:textId="77777777" w:rsidR="006912D4" w:rsidRPr="006912D4" w:rsidRDefault="006912D4" w:rsidP="006912D4">
      <w:pPr>
        <w:pStyle w:val="Body01"/>
        <w:rPr>
          <w:rFonts w:asciiTheme="minorHAnsi" w:hAnsiTheme="minorHAnsi"/>
          <w:sz w:val="24"/>
          <w:szCs w:val="24"/>
        </w:rPr>
      </w:pPr>
      <w:r w:rsidRPr="006912D4">
        <w:rPr>
          <w:rFonts w:asciiTheme="minorHAnsi" w:hAnsiTheme="minorHAnsi"/>
          <w:sz w:val="24"/>
          <w:szCs w:val="24"/>
        </w:rPr>
        <w:t xml:space="preserve">The requirements under the Act include: </w:t>
      </w:r>
    </w:p>
    <w:p w14:paraId="509D0A52" w14:textId="77777777" w:rsidR="006912D4" w:rsidRPr="006912D4" w:rsidRDefault="006912D4" w:rsidP="006912D4">
      <w:pPr>
        <w:pStyle w:val="Body01"/>
        <w:rPr>
          <w:rFonts w:asciiTheme="minorHAnsi" w:hAnsiTheme="minorHAnsi"/>
          <w:sz w:val="24"/>
          <w:szCs w:val="24"/>
        </w:rPr>
      </w:pPr>
      <w:r w:rsidRPr="006912D4">
        <w:rPr>
          <w:rFonts w:asciiTheme="minorHAnsi" w:hAnsiTheme="minorHAnsi"/>
          <w:b/>
          <w:bCs/>
          <w:sz w:val="24"/>
          <w:szCs w:val="24"/>
        </w:rPr>
        <w:t>Section 55:</w:t>
      </w:r>
      <w:r w:rsidRPr="006912D4">
        <w:rPr>
          <w:rFonts w:asciiTheme="minorHAnsi" w:hAnsiTheme="minorHAnsi"/>
          <w:sz w:val="24"/>
          <w:szCs w:val="24"/>
        </w:rPr>
        <w:t xml:space="preserve"> </w:t>
      </w:r>
      <w:r w:rsidRPr="006912D4">
        <w:rPr>
          <w:rFonts w:asciiTheme="minorHAnsi" w:hAnsiTheme="minorHAnsi"/>
          <w:b/>
          <w:bCs/>
          <w:sz w:val="24"/>
          <w:szCs w:val="24"/>
        </w:rPr>
        <w:t>Community Engagement Policy</w:t>
      </w:r>
      <w:bookmarkStart w:id="0" w:name="_Toc24539812"/>
      <w:r w:rsidRPr="006912D4">
        <w:rPr>
          <w:rFonts w:asciiTheme="minorHAnsi" w:hAnsiTheme="minorHAnsi"/>
          <w:sz w:val="24"/>
          <w:szCs w:val="24"/>
        </w:rPr>
        <w:tab/>
      </w:r>
      <w:bookmarkEnd w:id="0"/>
    </w:p>
    <w:p w14:paraId="33A1D058" w14:textId="77777777" w:rsidR="006912D4" w:rsidRPr="006912D4" w:rsidRDefault="006912D4" w:rsidP="006912D4">
      <w:pPr>
        <w:pStyle w:val="Body01"/>
        <w:rPr>
          <w:rFonts w:asciiTheme="minorHAnsi" w:hAnsiTheme="minorHAnsi"/>
          <w:sz w:val="24"/>
          <w:szCs w:val="24"/>
        </w:rPr>
      </w:pPr>
      <w:r w:rsidRPr="006912D4">
        <w:rPr>
          <w:rFonts w:asciiTheme="minorHAnsi" w:hAnsiTheme="minorHAnsi"/>
          <w:sz w:val="24"/>
          <w:szCs w:val="24"/>
        </w:rPr>
        <w:t>(1)</w:t>
      </w:r>
      <w:r w:rsidRPr="006912D4">
        <w:rPr>
          <w:rFonts w:asciiTheme="minorHAnsi" w:hAnsiTheme="minorHAnsi"/>
          <w:sz w:val="24"/>
          <w:szCs w:val="24"/>
        </w:rPr>
        <w:tab/>
        <w:t xml:space="preserve"> A Council must adopt and maintain a community engagement policy.</w:t>
      </w:r>
    </w:p>
    <w:p w14:paraId="61C290AA" w14:textId="77777777" w:rsidR="006912D4" w:rsidRPr="006912D4" w:rsidRDefault="006912D4" w:rsidP="006912D4">
      <w:pPr>
        <w:pStyle w:val="Body01"/>
        <w:rPr>
          <w:rFonts w:asciiTheme="minorHAnsi" w:hAnsiTheme="minorHAnsi"/>
          <w:sz w:val="24"/>
          <w:szCs w:val="24"/>
        </w:rPr>
      </w:pPr>
      <w:r w:rsidRPr="006912D4">
        <w:rPr>
          <w:rFonts w:asciiTheme="minorHAnsi" w:hAnsiTheme="minorHAnsi"/>
          <w:sz w:val="24"/>
          <w:szCs w:val="24"/>
        </w:rPr>
        <w:t>(2)</w:t>
      </w:r>
      <w:r w:rsidRPr="006912D4">
        <w:rPr>
          <w:rFonts w:asciiTheme="minorHAnsi" w:hAnsiTheme="minorHAnsi"/>
          <w:sz w:val="24"/>
          <w:szCs w:val="24"/>
        </w:rPr>
        <w:tab/>
        <w:t xml:space="preserve"> A community engagement policy must—</w:t>
      </w:r>
    </w:p>
    <w:p w14:paraId="0034BBA7" w14:textId="77777777" w:rsidR="006912D4" w:rsidRPr="006912D4" w:rsidRDefault="006912D4" w:rsidP="006912D4">
      <w:pPr>
        <w:pStyle w:val="Body01"/>
        <w:rPr>
          <w:rFonts w:asciiTheme="minorHAnsi" w:hAnsiTheme="minorHAnsi"/>
          <w:sz w:val="24"/>
          <w:szCs w:val="24"/>
        </w:rPr>
      </w:pPr>
      <w:r w:rsidRPr="006912D4">
        <w:rPr>
          <w:rFonts w:asciiTheme="minorHAnsi" w:hAnsiTheme="minorHAnsi"/>
          <w:sz w:val="24"/>
          <w:szCs w:val="24"/>
        </w:rPr>
        <w:tab/>
        <w:t>(a)</w:t>
      </w:r>
      <w:r w:rsidRPr="006912D4">
        <w:rPr>
          <w:rFonts w:asciiTheme="minorHAnsi" w:hAnsiTheme="minorHAnsi"/>
          <w:sz w:val="24"/>
          <w:szCs w:val="24"/>
        </w:rPr>
        <w:tab/>
        <w:t>be developed in consultation with the municipal community; and</w:t>
      </w:r>
    </w:p>
    <w:p w14:paraId="020FACBF" w14:textId="77777777" w:rsidR="006912D4" w:rsidRPr="006912D4" w:rsidRDefault="006912D4" w:rsidP="006912D4">
      <w:pPr>
        <w:pStyle w:val="Body01"/>
        <w:rPr>
          <w:rFonts w:asciiTheme="minorHAnsi" w:hAnsiTheme="minorHAnsi"/>
          <w:sz w:val="24"/>
          <w:szCs w:val="24"/>
        </w:rPr>
      </w:pPr>
      <w:r w:rsidRPr="006912D4">
        <w:rPr>
          <w:rFonts w:asciiTheme="minorHAnsi" w:hAnsiTheme="minorHAnsi"/>
          <w:sz w:val="24"/>
          <w:szCs w:val="24"/>
        </w:rPr>
        <w:tab/>
        <w:t>(b)</w:t>
      </w:r>
      <w:r w:rsidRPr="006912D4">
        <w:rPr>
          <w:rFonts w:asciiTheme="minorHAnsi" w:hAnsiTheme="minorHAnsi"/>
          <w:sz w:val="24"/>
          <w:szCs w:val="24"/>
        </w:rPr>
        <w:tab/>
        <w:t>give effect to the community engagement principles; and</w:t>
      </w:r>
    </w:p>
    <w:p w14:paraId="2E62BBE9" w14:textId="0AEFF906" w:rsidR="006912D4" w:rsidRPr="006912D4" w:rsidRDefault="006912D4" w:rsidP="006912D4">
      <w:pPr>
        <w:pStyle w:val="Body01"/>
        <w:rPr>
          <w:rFonts w:asciiTheme="minorHAnsi" w:hAnsiTheme="minorHAnsi"/>
          <w:sz w:val="24"/>
          <w:szCs w:val="24"/>
        </w:rPr>
      </w:pPr>
      <w:r w:rsidRPr="006912D4">
        <w:rPr>
          <w:rFonts w:asciiTheme="minorHAnsi" w:hAnsiTheme="minorHAnsi"/>
          <w:sz w:val="24"/>
          <w:szCs w:val="24"/>
        </w:rPr>
        <w:tab/>
        <w:t>(c)</w:t>
      </w:r>
      <w:r w:rsidRPr="006912D4">
        <w:rPr>
          <w:rFonts w:asciiTheme="minorHAnsi" w:hAnsiTheme="minorHAnsi"/>
          <w:sz w:val="24"/>
          <w:szCs w:val="24"/>
        </w:rPr>
        <w:tab/>
        <w:t>be capable of being applied to the making of the Council's local laws; and</w:t>
      </w:r>
    </w:p>
    <w:p w14:paraId="7DD52023" w14:textId="77777777" w:rsidR="006912D4" w:rsidRPr="006912D4" w:rsidRDefault="006912D4" w:rsidP="006912D4">
      <w:pPr>
        <w:pStyle w:val="Body01"/>
        <w:ind w:left="1440" w:hanging="720"/>
        <w:rPr>
          <w:sz w:val="24"/>
          <w:szCs w:val="24"/>
        </w:rPr>
      </w:pPr>
      <w:r w:rsidRPr="006912D4">
        <w:rPr>
          <w:sz w:val="24"/>
          <w:szCs w:val="24"/>
        </w:rPr>
        <w:t>(d)</w:t>
      </w:r>
      <w:r w:rsidRPr="006912D4">
        <w:rPr>
          <w:sz w:val="24"/>
          <w:szCs w:val="24"/>
        </w:rPr>
        <w:tab/>
        <w:t>be capable of being applied in relation to the Council's budget and policy development; and</w:t>
      </w:r>
    </w:p>
    <w:p w14:paraId="743EDB65" w14:textId="77777777" w:rsidR="006912D4" w:rsidRPr="006912D4" w:rsidRDefault="006912D4" w:rsidP="006912D4">
      <w:pPr>
        <w:pStyle w:val="Body01"/>
        <w:ind w:left="1440" w:hanging="720"/>
        <w:rPr>
          <w:sz w:val="24"/>
          <w:szCs w:val="24"/>
        </w:rPr>
      </w:pPr>
      <w:r w:rsidRPr="006912D4">
        <w:rPr>
          <w:sz w:val="24"/>
          <w:szCs w:val="24"/>
        </w:rPr>
        <w:t>(e)</w:t>
      </w:r>
      <w:r w:rsidRPr="006912D4">
        <w:rPr>
          <w:sz w:val="24"/>
          <w:szCs w:val="24"/>
        </w:rPr>
        <w:tab/>
        <w:t>describe the type and form of community engagement proposed, having regard to the significance and complexity of the matter and the level of resourcing required; and</w:t>
      </w:r>
    </w:p>
    <w:p w14:paraId="2A73951F" w14:textId="77777777" w:rsidR="006912D4" w:rsidRPr="006912D4" w:rsidRDefault="006912D4" w:rsidP="006912D4">
      <w:pPr>
        <w:pStyle w:val="Body01"/>
        <w:ind w:left="1440" w:hanging="720"/>
        <w:rPr>
          <w:sz w:val="24"/>
          <w:szCs w:val="24"/>
        </w:rPr>
      </w:pPr>
      <w:r w:rsidRPr="006912D4">
        <w:rPr>
          <w:sz w:val="24"/>
          <w:szCs w:val="24"/>
        </w:rPr>
        <w:t>(f)</w:t>
      </w:r>
      <w:r w:rsidRPr="006912D4">
        <w:rPr>
          <w:sz w:val="24"/>
          <w:szCs w:val="24"/>
        </w:rPr>
        <w:tab/>
        <w:t>specify a process for informing the municipal community of the outcome of the community engagement; and</w:t>
      </w:r>
    </w:p>
    <w:p w14:paraId="2F2CA19A" w14:textId="77777777" w:rsidR="006912D4" w:rsidRPr="006912D4" w:rsidRDefault="006912D4" w:rsidP="006912D4">
      <w:pPr>
        <w:pStyle w:val="Body01"/>
        <w:ind w:left="1440" w:hanging="720"/>
        <w:rPr>
          <w:sz w:val="24"/>
          <w:szCs w:val="24"/>
        </w:rPr>
      </w:pPr>
      <w:r w:rsidRPr="006912D4">
        <w:rPr>
          <w:sz w:val="24"/>
          <w:szCs w:val="24"/>
        </w:rPr>
        <w:t>(g)</w:t>
      </w:r>
      <w:r w:rsidRPr="006912D4">
        <w:rPr>
          <w:sz w:val="24"/>
          <w:szCs w:val="24"/>
        </w:rPr>
        <w:tab/>
        <w:t>include deliberative engagement practices which must include and address any matters prescribed by the regulations for the purposes of this paragraph and be capable of being applied to the development of the Community Vision, Council Plan, Financial Plan and Asset Plan and</w:t>
      </w:r>
    </w:p>
    <w:p w14:paraId="5E405487" w14:textId="77777777" w:rsidR="006912D4" w:rsidRPr="006912D4" w:rsidRDefault="006912D4" w:rsidP="006912D4">
      <w:pPr>
        <w:pStyle w:val="Body01"/>
        <w:rPr>
          <w:sz w:val="24"/>
          <w:szCs w:val="24"/>
        </w:rPr>
      </w:pPr>
      <w:r w:rsidRPr="006912D4">
        <w:rPr>
          <w:sz w:val="24"/>
          <w:szCs w:val="24"/>
        </w:rPr>
        <w:tab/>
        <w:t>(h)</w:t>
      </w:r>
      <w:r w:rsidRPr="006912D4">
        <w:rPr>
          <w:sz w:val="24"/>
          <w:szCs w:val="24"/>
        </w:rPr>
        <w:tab/>
        <w:t>include any other matters prescribed by the regulations.</w:t>
      </w:r>
    </w:p>
    <w:p w14:paraId="64F7B919" w14:textId="77777777" w:rsidR="006912D4" w:rsidRPr="006912D4" w:rsidRDefault="006912D4" w:rsidP="006912D4">
      <w:pPr>
        <w:pStyle w:val="Body01"/>
        <w:ind w:left="720" w:hanging="720"/>
        <w:rPr>
          <w:sz w:val="24"/>
          <w:szCs w:val="24"/>
        </w:rPr>
      </w:pPr>
      <w:r w:rsidRPr="006912D4">
        <w:rPr>
          <w:sz w:val="24"/>
          <w:szCs w:val="24"/>
        </w:rPr>
        <w:t xml:space="preserve">(3) </w:t>
      </w:r>
      <w:r w:rsidRPr="006912D4">
        <w:rPr>
          <w:sz w:val="24"/>
          <w:szCs w:val="24"/>
        </w:rPr>
        <w:tab/>
        <w:t>A Council must adopt the first community engagement policy under this section on or before 1 March 2021.</w:t>
      </w:r>
    </w:p>
    <w:p w14:paraId="0E84F02B" w14:textId="77777777" w:rsidR="006912D4" w:rsidRPr="006912D4" w:rsidRDefault="006912D4" w:rsidP="006912D4">
      <w:pPr>
        <w:pStyle w:val="Body01"/>
        <w:rPr>
          <w:sz w:val="24"/>
          <w:szCs w:val="24"/>
        </w:rPr>
      </w:pPr>
    </w:p>
    <w:p w14:paraId="1CFE4D4F" w14:textId="77777777" w:rsidR="006912D4" w:rsidRPr="006912D4" w:rsidRDefault="006912D4" w:rsidP="006912D4">
      <w:pPr>
        <w:pStyle w:val="Body01"/>
        <w:rPr>
          <w:b/>
          <w:bCs/>
          <w:sz w:val="24"/>
          <w:szCs w:val="24"/>
        </w:rPr>
      </w:pPr>
      <w:bookmarkStart w:id="1" w:name="_Toc24539813"/>
      <w:r w:rsidRPr="006912D4">
        <w:rPr>
          <w:b/>
          <w:bCs/>
          <w:sz w:val="24"/>
          <w:szCs w:val="24"/>
        </w:rPr>
        <w:t>Section 56: The community engagement principles</w:t>
      </w:r>
      <w:bookmarkEnd w:id="1"/>
    </w:p>
    <w:p w14:paraId="62E87F34" w14:textId="77777777" w:rsidR="006912D4" w:rsidRPr="006912D4" w:rsidRDefault="006912D4" w:rsidP="006912D4">
      <w:pPr>
        <w:pStyle w:val="Body01"/>
        <w:rPr>
          <w:sz w:val="24"/>
          <w:szCs w:val="24"/>
        </w:rPr>
      </w:pPr>
      <w:r w:rsidRPr="006912D4">
        <w:rPr>
          <w:sz w:val="24"/>
          <w:szCs w:val="24"/>
        </w:rPr>
        <w:tab/>
        <w:t>(a)</w:t>
      </w:r>
      <w:r w:rsidRPr="006912D4">
        <w:rPr>
          <w:sz w:val="24"/>
          <w:szCs w:val="24"/>
        </w:rPr>
        <w:tab/>
        <w:t>a community engagement process must have a clearly defined objective and scope;</w:t>
      </w:r>
    </w:p>
    <w:p w14:paraId="0C64CDE1" w14:textId="77777777" w:rsidR="006912D4" w:rsidRPr="006912D4" w:rsidRDefault="006912D4" w:rsidP="006912D4">
      <w:pPr>
        <w:pStyle w:val="Body01"/>
        <w:ind w:left="1440" w:hanging="720"/>
        <w:rPr>
          <w:sz w:val="24"/>
          <w:szCs w:val="24"/>
        </w:rPr>
      </w:pPr>
      <w:r w:rsidRPr="006912D4">
        <w:rPr>
          <w:sz w:val="24"/>
          <w:szCs w:val="24"/>
        </w:rPr>
        <w:t>(b)</w:t>
      </w:r>
      <w:r w:rsidRPr="006912D4">
        <w:rPr>
          <w:sz w:val="24"/>
          <w:szCs w:val="24"/>
        </w:rPr>
        <w:tab/>
        <w:t>participants in community engagement must have access to objective, relevant and timely information to inform their participation;</w:t>
      </w:r>
    </w:p>
    <w:p w14:paraId="123AD801" w14:textId="77777777" w:rsidR="006912D4" w:rsidRPr="006912D4" w:rsidRDefault="006912D4" w:rsidP="006912D4">
      <w:pPr>
        <w:pStyle w:val="Body01"/>
        <w:ind w:left="1440" w:hanging="720"/>
        <w:rPr>
          <w:sz w:val="24"/>
          <w:szCs w:val="24"/>
        </w:rPr>
      </w:pPr>
      <w:r w:rsidRPr="006912D4">
        <w:rPr>
          <w:sz w:val="24"/>
          <w:szCs w:val="24"/>
        </w:rPr>
        <w:t>(c)</w:t>
      </w:r>
      <w:r w:rsidRPr="006912D4">
        <w:rPr>
          <w:sz w:val="24"/>
          <w:szCs w:val="24"/>
        </w:rPr>
        <w:tab/>
        <w:t>participants in community engagement must be representative of the persons and groups affected by the matter that is the subject of the community engagement;</w:t>
      </w:r>
    </w:p>
    <w:p w14:paraId="767D58BB" w14:textId="77777777" w:rsidR="006912D4" w:rsidRPr="006912D4" w:rsidRDefault="006912D4" w:rsidP="006912D4">
      <w:pPr>
        <w:pStyle w:val="Body01"/>
        <w:ind w:left="1440" w:hanging="720"/>
        <w:rPr>
          <w:sz w:val="24"/>
          <w:szCs w:val="24"/>
        </w:rPr>
      </w:pPr>
      <w:r w:rsidRPr="006912D4">
        <w:rPr>
          <w:sz w:val="24"/>
          <w:szCs w:val="24"/>
        </w:rPr>
        <w:t>(d)</w:t>
      </w:r>
      <w:r w:rsidRPr="006912D4">
        <w:rPr>
          <w:sz w:val="24"/>
          <w:szCs w:val="24"/>
        </w:rPr>
        <w:tab/>
        <w:t>participants in community engagement are entitled to reasonable support to enable meaningful and informed engagement;</w:t>
      </w:r>
    </w:p>
    <w:p w14:paraId="41C1EAE1" w14:textId="77777777" w:rsidR="006912D4" w:rsidRPr="006912D4" w:rsidRDefault="006912D4" w:rsidP="006912D4">
      <w:pPr>
        <w:pStyle w:val="Body01"/>
        <w:ind w:left="1440" w:hanging="720"/>
        <w:rPr>
          <w:sz w:val="24"/>
          <w:szCs w:val="24"/>
        </w:rPr>
      </w:pPr>
      <w:r w:rsidRPr="006912D4">
        <w:rPr>
          <w:sz w:val="24"/>
          <w:szCs w:val="24"/>
        </w:rPr>
        <w:t>(e)</w:t>
      </w:r>
      <w:r w:rsidRPr="006912D4">
        <w:rPr>
          <w:sz w:val="24"/>
          <w:szCs w:val="24"/>
        </w:rPr>
        <w:tab/>
        <w:t>participants in community engagement are informed of the ways in which the community engagement process will influence Council decision making.</w:t>
      </w:r>
    </w:p>
    <w:p w14:paraId="475C97C6" w14:textId="77777777" w:rsidR="006912D4" w:rsidRPr="006912D4" w:rsidRDefault="006912D4" w:rsidP="006912D4">
      <w:pPr>
        <w:pStyle w:val="Body01"/>
        <w:rPr>
          <w:sz w:val="24"/>
          <w:szCs w:val="24"/>
        </w:rPr>
      </w:pPr>
    </w:p>
    <w:p w14:paraId="46375F32" w14:textId="77777777" w:rsidR="006912D4" w:rsidRPr="006912D4" w:rsidRDefault="006912D4" w:rsidP="006912D4">
      <w:pPr>
        <w:pStyle w:val="Body01"/>
        <w:rPr>
          <w:sz w:val="24"/>
          <w:szCs w:val="24"/>
        </w:rPr>
      </w:pPr>
      <w:r w:rsidRPr="006912D4">
        <w:rPr>
          <w:sz w:val="24"/>
          <w:szCs w:val="24"/>
        </w:rPr>
        <w:lastRenderedPageBreak/>
        <w:t xml:space="preserve">Councils will also be required, at a minimum, to apply their Community Engagement Policy in the development of the following: </w:t>
      </w:r>
    </w:p>
    <w:p w14:paraId="554BD9F4" w14:textId="77777777" w:rsidR="006912D4" w:rsidRPr="006912D4" w:rsidRDefault="006912D4" w:rsidP="006912D4">
      <w:pPr>
        <w:pStyle w:val="Body01"/>
        <w:numPr>
          <w:ilvl w:val="0"/>
          <w:numId w:val="1"/>
        </w:numPr>
        <w:rPr>
          <w:sz w:val="24"/>
          <w:szCs w:val="24"/>
        </w:rPr>
      </w:pPr>
      <w:r w:rsidRPr="006912D4">
        <w:rPr>
          <w:sz w:val="24"/>
          <w:szCs w:val="24"/>
        </w:rPr>
        <w:t xml:space="preserve">Planning and financial management </w:t>
      </w:r>
    </w:p>
    <w:p w14:paraId="59F548D8" w14:textId="77777777" w:rsidR="006912D4" w:rsidRPr="006912D4" w:rsidRDefault="006912D4" w:rsidP="006912D4">
      <w:pPr>
        <w:pStyle w:val="Body01"/>
        <w:numPr>
          <w:ilvl w:val="0"/>
          <w:numId w:val="1"/>
        </w:numPr>
        <w:rPr>
          <w:sz w:val="24"/>
          <w:szCs w:val="24"/>
        </w:rPr>
      </w:pPr>
      <w:r w:rsidRPr="006912D4">
        <w:rPr>
          <w:sz w:val="24"/>
          <w:szCs w:val="24"/>
        </w:rPr>
        <w:t xml:space="preserve">Community vision </w:t>
      </w:r>
    </w:p>
    <w:p w14:paraId="31F87331" w14:textId="77777777" w:rsidR="006912D4" w:rsidRPr="006912D4" w:rsidRDefault="006912D4" w:rsidP="006912D4">
      <w:pPr>
        <w:pStyle w:val="Body01"/>
        <w:numPr>
          <w:ilvl w:val="0"/>
          <w:numId w:val="1"/>
        </w:numPr>
        <w:rPr>
          <w:sz w:val="24"/>
          <w:szCs w:val="24"/>
        </w:rPr>
      </w:pPr>
      <w:r w:rsidRPr="006912D4">
        <w:rPr>
          <w:sz w:val="24"/>
          <w:szCs w:val="24"/>
        </w:rPr>
        <w:t xml:space="preserve">Council plan </w:t>
      </w:r>
    </w:p>
    <w:p w14:paraId="2367E7C8" w14:textId="77777777" w:rsidR="006912D4" w:rsidRPr="006912D4" w:rsidRDefault="006912D4" w:rsidP="006912D4">
      <w:pPr>
        <w:pStyle w:val="Body01"/>
        <w:numPr>
          <w:ilvl w:val="0"/>
          <w:numId w:val="1"/>
        </w:numPr>
        <w:rPr>
          <w:sz w:val="24"/>
          <w:szCs w:val="24"/>
        </w:rPr>
      </w:pPr>
      <w:r w:rsidRPr="006912D4">
        <w:rPr>
          <w:sz w:val="24"/>
          <w:szCs w:val="24"/>
        </w:rPr>
        <w:t xml:space="preserve">Financial plan </w:t>
      </w:r>
    </w:p>
    <w:p w14:paraId="6433BA59" w14:textId="77777777" w:rsidR="006912D4" w:rsidRPr="006912D4" w:rsidRDefault="006912D4" w:rsidP="006912D4">
      <w:pPr>
        <w:pStyle w:val="Body01"/>
        <w:numPr>
          <w:ilvl w:val="0"/>
          <w:numId w:val="1"/>
        </w:numPr>
        <w:rPr>
          <w:sz w:val="24"/>
          <w:szCs w:val="24"/>
        </w:rPr>
      </w:pPr>
      <w:r w:rsidRPr="006912D4">
        <w:rPr>
          <w:sz w:val="24"/>
          <w:szCs w:val="24"/>
        </w:rPr>
        <w:t xml:space="preserve">Revenue and rating planning </w:t>
      </w:r>
    </w:p>
    <w:p w14:paraId="2F80C83E" w14:textId="77777777" w:rsidR="006912D4" w:rsidRPr="006912D4" w:rsidRDefault="006912D4" w:rsidP="006912D4">
      <w:pPr>
        <w:pStyle w:val="Body01"/>
        <w:numPr>
          <w:ilvl w:val="0"/>
          <w:numId w:val="1"/>
        </w:numPr>
        <w:rPr>
          <w:sz w:val="24"/>
          <w:szCs w:val="24"/>
        </w:rPr>
      </w:pPr>
      <w:r w:rsidRPr="006912D4">
        <w:rPr>
          <w:sz w:val="24"/>
          <w:szCs w:val="24"/>
        </w:rPr>
        <w:t xml:space="preserve">Asset plan </w:t>
      </w:r>
    </w:p>
    <w:p w14:paraId="33311A92" w14:textId="77777777" w:rsidR="006912D4" w:rsidRPr="006912D4" w:rsidRDefault="006912D4" w:rsidP="006912D4">
      <w:pPr>
        <w:pStyle w:val="Body01"/>
        <w:rPr>
          <w:rFonts w:asciiTheme="minorHAnsi" w:hAnsiTheme="minorHAnsi"/>
          <w:sz w:val="24"/>
          <w:szCs w:val="24"/>
        </w:rPr>
      </w:pPr>
    </w:p>
    <w:p w14:paraId="7ECA92E5" w14:textId="30317474" w:rsidR="00961BA5" w:rsidRPr="006912D4" w:rsidRDefault="00111230">
      <w:pPr>
        <w:rPr>
          <w:sz w:val="24"/>
          <w:szCs w:val="24"/>
        </w:rPr>
      </w:pPr>
      <w:bookmarkStart w:id="2" w:name="_GoBack"/>
      <w:bookmarkEnd w:id="2"/>
    </w:p>
    <w:sectPr w:rsidR="00961BA5" w:rsidRPr="006912D4" w:rsidSect="009E446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52BA0" w14:textId="77777777" w:rsidR="00111230" w:rsidRDefault="00111230" w:rsidP="009E4461">
      <w:pPr>
        <w:spacing w:after="0" w:line="240" w:lineRule="auto"/>
      </w:pPr>
      <w:r>
        <w:separator/>
      </w:r>
    </w:p>
  </w:endnote>
  <w:endnote w:type="continuationSeparator" w:id="0">
    <w:p w14:paraId="56AA5215" w14:textId="77777777" w:rsidR="00111230" w:rsidRDefault="00111230" w:rsidP="009E4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axOT-Regular">
    <w:panose1 w:val="02010504060101020104"/>
    <w:charset w:val="00"/>
    <w:family w:val="modern"/>
    <w:notTrueType/>
    <w:pitch w:val="variable"/>
    <w:sig w:usb0="800000AF" w:usb1="4000247B"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DaxOT-Medium">
    <w:panose1 w:val="02010604060101020104"/>
    <w:charset w:val="00"/>
    <w:family w:val="modern"/>
    <w:notTrueType/>
    <w:pitch w:val="variable"/>
    <w:sig w:usb0="800000AF" w:usb1="4000247B" w:usb2="00000000" w:usb3="00000000" w:csb0="00000001" w:csb1="00000000"/>
  </w:font>
  <w:font w:name="DaxOT-Light">
    <w:panose1 w:val="02010504050101020104"/>
    <w:charset w:val="00"/>
    <w:family w:val="modern"/>
    <w:notTrueType/>
    <w:pitch w:val="variable"/>
    <w:sig w:usb0="800000AF" w:usb1="4000247B"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7148A" w14:textId="77777777" w:rsidR="009E4461" w:rsidRPr="002D26EB" w:rsidRDefault="009E4461" w:rsidP="002D26EB">
    <w:pPr>
      <w:pStyle w:val="Footer"/>
      <w:pBdr>
        <w:top w:val="single" w:sz="12" w:space="1" w:color="002060"/>
      </w:pBdr>
      <w:jc w:val="right"/>
      <w:rPr>
        <w:rFonts w:ascii="DaxOT-Light" w:hAnsi="DaxOT-Light"/>
        <w:color w:val="002060"/>
        <w:sz w:val="20"/>
      </w:rPr>
    </w:pPr>
    <w:r w:rsidRPr="002D26EB">
      <w:rPr>
        <w:rFonts w:ascii="DaxOT-Light" w:hAnsi="DaxOT-Light"/>
        <w:color w:val="002060"/>
        <w:sz w:val="20"/>
      </w:rPr>
      <w:t>Wyndham City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E3528" w14:textId="77777777" w:rsidR="009E4461" w:rsidRPr="002D26EB" w:rsidRDefault="009E4461" w:rsidP="002D26EB">
    <w:pPr>
      <w:pStyle w:val="Footer"/>
      <w:pBdr>
        <w:top w:val="single" w:sz="12" w:space="1" w:color="002060"/>
      </w:pBdr>
      <w:tabs>
        <w:tab w:val="clear" w:pos="4513"/>
        <w:tab w:val="clear" w:pos="9026"/>
        <w:tab w:val="left" w:pos="2210"/>
      </w:tabs>
      <w:rPr>
        <w:rFonts w:ascii="DaxOT-Light" w:hAnsi="DaxOT-Light"/>
        <w:color w:val="002060"/>
        <w:sz w:val="20"/>
      </w:rPr>
    </w:pPr>
    <w:r w:rsidRPr="002D26EB">
      <w:rPr>
        <w:rFonts w:ascii="DaxOT-Light" w:hAnsi="DaxOT-Light"/>
        <w:color w:val="002060"/>
        <w:sz w:val="20"/>
      </w:rPr>
      <w:t>Wyndham City</w:t>
    </w:r>
    <w:r w:rsidR="002D26EB">
      <w:rPr>
        <w:rFonts w:ascii="DaxOT-Light" w:hAnsi="DaxOT-Light"/>
        <w:color w:val="002060"/>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7EC9A" w14:textId="77777777" w:rsidR="002D26EB" w:rsidRDefault="002D2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03319" w14:textId="77777777" w:rsidR="00111230" w:rsidRDefault="00111230" w:rsidP="009E4461">
      <w:pPr>
        <w:spacing w:after="0" w:line="240" w:lineRule="auto"/>
      </w:pPr>
      <w:r>
        <w:separator/>
      </w:r>
    </w:p>
  </w:footnote>
  <w:footnote w:type="continuationSeparator" w:id="0">
    <w:p w14:paraId="6AF899E8" w14:textId="77777777" w:rsidR="00111230" w:rsidRDefault="00111230" w:rsidP="009E4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FCBE9" w14:textId="77777777" w:rsidR="009E4461" w:rsidRDefault="002D26EB">
    <w:pPr>
      <w:pStyle w:val="Header"/>
    </w:pPr>
    <w:r>
      <w:rPr>
        <w:noProof/>
        <w:lang w:eastAsia="en-AU"/>
      </w:rPr>
      <w:drawing>
        <wp:anchor distT="0" distB="0" distL="114300" distR="114300" simplePos="0" relativeHeight="251661312" behindDoc="1" locked="0" layoutInCell="1" allowOverlap="1" wp14:anchorId="5F1E59EE" wp14:editId="2A6CEAD6">
          <wp:simplePos x="0" y="0"/>
          <wp:positionH relativeFrom="column">
            <wp:posOffset>659130</wp:posOffset>
          </wp:positionH>
          <wp:positionV relativeFrom="paragraph">
            <wp:posOffset>-1096453</wp:posOffset>
          </wp:positionV>
          <wp:extent cx="6475730" cy="1986280"/>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AndSandGraphic_PURP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5730" cy="19862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55EFA" w14:textId="77777777" w:rsidR="002D26EB" w:rsidRDefault="002D26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8447C" w14:textId="77777777" w:rsidR="002D26EB" w:rsidRDefault="002D26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B0CF5"/>
    <w:multiLevelType w:val="hybridMultilevel"/>
    <w:tmpl w:val="86D8A34C"/>
    <w:lvl w:ilvl="0" w:tplc="9A484148">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912D4"/>
    <w:rsid w:val="00111230"/>
    <w:rsid w:val="002D26EB"/>
    <w:rsid w:val="00396345"/>
    <w:rsid w:val="006135B4"/>
    <w:rsid w:val="006912D4"/>
    <w:rsid w:val="009E4461"/>
    <w:rsid w:val="00A655EA"/>
    <w:rsid w:val="00B30674"/>
    <w:rsid w:val="00C22E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737FD"/>
  <w15:docId w15:val="{607397AF-0532-4C30-B31D-E36BBEE07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461"/>
  </w:style>
  <w:style w:type="paragraph" w:styleId="Footer">
    <w:name w:val="footer"/>
    <w:basedOn w:val="Normal"/>
    <w:link w:val="FooterChar"/>
    <w:uiPriority w:val="99"/>
    <w:unhideWhenUsed/>
    <w:rsid w:val="009E4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461"/>
  </w:style>
  <w:style w:type="paragraph" w:styleId="NoSpacing">
    <w:name w:val="No Spacing"/>
    <w:link w:val="NoSpacingChar"/>
    <w:uiPriority w:val="1"/>
    <w:qFormat/>
    <w:rsid w:val="009E446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E4461"/>
    <w:rPr>
      <w:rFonts w:eastAsiaTheme="minorEastAsia"/>
      <w:lang w:val="en-US" w:eastAsia="ja-JP"/>
    </w:rPr>
  </w:style>
  <w:style w:type="paragraph" w:styleId="BalloonText">
    <w:name w:val="Balloon Text"/>
    <w:basedOn w:val="Normal"/>
    <w:link w:val="BalloonTextChar"/>
    <w:uiPriority w:val="99"/>
    <w:semiHidden/>
    <w:unhideWhenUsed/>
    <w:rsid w:val="009E4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461"/>
    <w:rPr>
      <w:rFonts w:ascii="Tahoma" w:hAnsi="Tahoma" w:cs="Tahoma"/>
      <w:sz w:val="16"/>
      <w:szCs w:val="16"/>
    </w:rPr>
  </w:style>
  <w:style w:type="paragraph" w:customStyle="1" w:styleId="Body01">
    <w:name w:val="_Body01"/>
    <w:qFormat/>
    <w:rsid w:val="006912D4"/>
    <w:pPr>
      <w:spacing w:after="113" w:line="240" w:lineRule="auto"/>
    </w:pPr>
    <w:rPr>
      <w:rFonts w:ascii="Calibri" w:eastAsia="MS Mincho" w:hAnsi="Calibri"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ivic2k16file1\templates2016$\CEO's%20Office\Cover%20and%20Follow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5B68B18CB8E24D8F2BC4602CE4FE1E" ma:contentTypeVersion="13" ma:contentTypeDescription="Create a new document." ma:contentTypeScope="" ma:versionID="d842c1d0288d301bf584bf54b0252312">
  <xsd:schema xmlns:xsd="http://www.w3.org/2001/XMLSchema" xmlns:xs="http://www.w3.org/2001/XMLSchema" xmlns:p="http://schemas.microsoft.com/office/2006/metadata/properties" xmlns:ns3="52b337d2-94b7-413d-9ca7-14540e85f009" xmlns:ns4="5ffa0b96-baad-4082-8808-1fae573df677" targetNamespace="http://schemas.microsoft.com/office/2006/metadata/properties" ma:root="true" ma:fieldsID="849aed600ce6997ec29972a444227aea" ns3:_="" ns4:_="">
    <xsd:import namespace="52b337d2-94b7-413d-9ca7-14540e85f009"/>
    <xsd:import namespace="5ffa0b96-baad-4082-8808-1fae573df6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337d2-94b7-413d-9ca7-14540e85f00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fa0b96-baad-4082-8808-1fae573df67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11781C-366F-4B4C-B122-69D516419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337d2-94b7-413d-9ca7-14540e85f009"/>
    <ds:schemaRef ds:uri="5ffa0b96-baad-4082-8808-1fae573df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B8B3DE-404A-4101-818A-7F73B4057EF2}">
  <ds:schemaRefs>
    <ds:schemaRef ds:uri="http://schemas.microsoft.com/sharepoint/v3/contenttype/forms"/>
  </ds:schemaRefs>
</ds:datastoreItem>
</file>

<file path=customXml/itemProps3.xml><?xml version="1.0" encoding="utf-8"?>
<ds:datastoreItem xmlns:ds="http://schemas.openxmlformats.org/officeDocument/2006/customXml" ds:itemID="{EFF09DE8-72DA-4CC7-AF06-897A8E8D29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Cover and Follower</Template>
  <TotalTime>3</TotalTime>
  <Pages>3</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Clark</dc:creator>
  <cp:lastModifiedBy>Jessica Clark</cp:lastModifiedBy>
  <cp:revision>2</cp:revision>
  <dcterms:created xsi:type="dcterms:W3CDTF">2020-07-16T11:09:00Z</dcterms:created>
  <dcterms:modified xsi:type="dcterms:W3CDTF">2020-07-16T11:12:00Z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0x0101000C5B68B18CB8E24D8F2BC4602CE4FE1E</vt:lpwstr>
  </property>
</Properties>
</file>