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95860676"/>
        <w:docPartObj>
          <w:docPartGallery w:val="Cover Pages"/>
          <w:docPartUnique/>
        </w:docPartObj>
      </w:sdtPr>
      <w:sdtEndPr/>
      <w:sdtContent>
        <w:p w14:paraId="038020B3" w14:textId="77777777" w:rsidR="009E4461" w:rsidRDefault="009E4461">
          <w:r>
            <w:rPr>
              <w:noProof/>
              <w:lang w:eastAsia="en-AU"/>
            </w:rPr>
            <w:drawing>
              <wp:anchor distT="0" distB="0" distL="114300" distR="114300" simplePos="0" relativeHeight="251653119" behindDoc="0" locked="0" layoutInCell="1" allowOverlap="1" wp14:anchorId="100AF39B" wp14:editId="0B240DA1">
                <wp:simplePos x="0" y="0"/>
                <wp:positionH relativeFrom="column">
                  <wp:posOffset>-925033</wp:posOffset>
                </wp:positionH>
                <wp:positionV relativeFrom="paragraph">
                  <wp:posOffset>-925034</wp:posOffset>
                </wp:positionV>
                <wp:extent cx="7581014" cy="10719751"/>
                <wp:effectExtent l="0" t="0" r="127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ife -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3349" cy="10723052"/>
                        </a:xfrm>
                        <a:prstGeom prst="rect">
                          <a:avLst/>
                        </a:prstGeom>
                      </pic:spPr>
                    </pic:pic>
                  </a:graphicData>
                </a:graphic>
                <wp14:sizeRelH relativeFrom="page">
                  <wp14:pctWidth>0</wp14:pctWidth>
                </wp14:sizeRelH>
                <wp14:sizeRelV relativeFrom="page">
                  <wp14:pctHeight>0</wp14:pctHeight>
                </wp14:sizeRelV>
              </wp:anchor>
            </w:drawing>
          </w:r>
        </w:p>
        <w:p w14:paraId="6573315E" w14:textId="77777777" w:rsidR="009E4461" w:rsidRDefault="009E4461"/>
        <w:p w14:paraId="0F39C1C9" w14:textId="77777777" w:rsidR="009E4461" w:rsidRDefault="009E4461"/>
        <w:p w14:paraId="35CBFF4E" w14:textId="5F06E0BF" w:rsidR="009E4461" w:rsidRDefault="00661DE4">
          <w:r w:rsidRPr="009E4461">
            <w:rPr>
              <w:noProof/>
              <w:lang w:eastAsia="en-AU"/>
            </w:rPr>
            <mc:AlternateContent>
              <mc:Choice Requires="wps">
                <w:drawing>
                  <wp:anchor distT="0" distB="0" distL="114300" distR="114300" simplePos="0" relativeHeight="251654144" behindDoc="0" locked="0" layoutInCell="1" allowOverlap="1" wp14:anchorId="4ABE6E27" wp14:editId="38F272A3">
                    <wp:simplePos x="0" y="0"/>
                    <wp:positionH relativeFrom="column">
                      <wp:posOffset>-520995</wp:posOffset>
                    </wp:positionH>
                    <wp:positionV relativeFrom="paragraph">
                      <wp:posOffset>5718234</wp:posOffset>
                    </wp:positionV>
                    <wp:extent cx="6256020" cy="211587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2115879"/>
                            </a:xfrm>
                            <a:prstGeom prst="rect">
                              <a:avLst/>
                            </a:prstGeom>
                            <a:noFill/>
                            <a:ln w="9525">
                              <a:noFill/>
                              <a:miter lim="800000"/>
                              <a:headEnd/>
                              <a:tailEnd/>
                            </a:ln>
                          </wps:spPr>
                          <wps:txbx>
                            <w:txbxContent>
                              <w:p w14:paraId="653A3B36" w14:textId="77777777" w:rsidR="00661DE4" w:rsidRDefault="00661DE4" w:rsidP="009E4461">
                                <w:pPr>
                                  <w:pStyle w:val="Footer"/>
                                  <w:rPr>
                                    <w:rFonts w:ascii="Calibri Light" w:eastAsiaTheme="majorEastAsia" w:hAnsi="Calibri Light" w:cstheme="majorBidi"/>
                                    <w:b/>
                                    <w:color w:val="6D4190"/>
                                    <w:sz w:val="72"/>
                                    <w:szCs w:val="72"/>
                                  </w:rPr>
                                </w:pPr>
                                <w:r>
                                  <w:rPr>
                                    <w:rFonts w:ascii="Calibri Light" w:eastAsiaTheme="majorEastAsia" w:hAnsi="Calibri Light" w:cstheme="majorBidi"/>
                                    <w:b/>
                                    <w:color w:val="6D4190"/>
                                    <w:sz w:val="72"/>
                                    <w:szCs w:val="72"/>
                                  </w:rPr>
                                  <w:t xml:space="preserve">Wyndham Gambling </w:t>
                                </w:r>
                                <w:r w:rsidRPr="00661DE4">
                                  <w:rPr>
                                    <w:rFonts w:ascii="Calibri Light" w:eastAsiaTheme="majorEastAsia" w:hAnsi="Calibri Light" w:cstheme="majorBidi"/>
                                    <w:b/>
                                    <w:color w:val="7030A0"/>
                                    <w:sz w:val="72"/>
                                    <w:szCs w:val="72"/>
                                  </w:rPr>
                                  <w:t>Harm</w:t>
                                </w:r>
                                <w:r>
                                  <w:rPr>
                                    <w:rFonts w:ascii="Calibri Light" w:eastAsiaTheme="majorEastAsia" w:hAnsi="Calibri Light" w:cstheme="majorBidi"/>
                                    <w:b/>
                                    <w:color w:val="6D4190"/>
                                    <w:sz w:val="72"/>
                                    <w:szCs w:val="72"/>
                                  </w:rPr>
                                  <w:t xml:space="preserve"> Minimisation Policy and Action Plan 2018-2022</w:t>
                                </w:r>
                              </w:p>
                              <w:p w14:paraId="05FE67BA" w14:textId="77777777" w:rsidR="00661DE4" w:rsidRPr="00D80EF2" w:rsidRDefault="00661DE4" w:rsidP="009E4461">
                                <w:pPr>
                                  <w:pStyle w:val="Footer"/>
                                  <w:rPr>
                                    <w:rFonts w:ascii="Calibri Light" w:eastAsiaTheme="majorEastAsia" w:hAnsi="Calibri Light" w:cstheme="majorBidi"/>
                                    <w:b/>
                                    <w:color w:val="6D4190"/>
                                    <w:sz w:val="72"/>
                                    <w:szCs w:val="72"/>
                                  </w:rPr>
                                </w:pPr>
                                <w:r w:rsidRPr="00D80EF2">
                                  <w:rPr>
                                    <w:rFonts w:ascii="Calibri Light" w:eastAsiaTheme="majorEastAsia" w:hAnsi="Calibri Light" w:cstheme="majorBidi"/>
                                    <w:b/>
                                    <w:color w:val="6D4190"/>
                                    <w:sz w:val="72"/>
                                    <w:szCs w:val="72"/>
                                  </w:rPr>
                                  <w:t xml:space="preserve"> </w:t>
                                </w:r>
                                <w:r w:rsidRPr="00D80EF2">
                                  <w:rPr>
                                    <w:rFonts w:ascii="Calibri Light" w:eastAsiaTheme="majorEastAsia" w:hAnsi="Calibri Light" w:cstheme="majorBidi"/>
                                    <w:b/>
                                    <w:color w:val="6D4190"/>
                                    <w:sz w:val="72"/>
                                    <w:szCs w:val="72"/>
                                  </w:rPr>
                                  <w:br/>
                                  <w:t>Here</w:t>
                                </w:r>
                              </w:p>
                              <w:p w14:paraId="0BDE0DA2" w14:textId="77777777" w:rsidR="00661DE4" w:rsidRPr="003C2A03" w:rsidRDefault="00661DE4" w:rsidP="009E4461">
                                <w:pPr>
                                  <w:rPr>
                                    <w:rFonts w:ascii="DaxOT-Medium" w:hAnsi="DaxOT-Medium"/>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BE6E27" id="_x0000_t202" coordsize="21600,21600" o:spt="202" path="m,l,21600r21600,l21600,xe">
                    <v:stroke joinstyle="miter"/>
                    <v:path gradientshapeok="t" o:connecttype="rect"/>
                  </v:shapetype>
                  <v:shape id="Text Box 2" o:spid="_x0000_s1026" type="#_x0000_t202" style="position:absolute;margin-left:-41pt;margin-top:450.25pt;width:492.6pt;height:16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" filled="f" stroked="f">
                    <v:textbox>
                      <w:txbxContent>
                        <w:p w14:paraId="653A3B36" w14:textId="77777777" w:rsidR="00661DE4" w:rsidRDefault="00661DE4" w:rsidP="009E4461">
                          <w:pPr>
                            <w:pStyle w:val="Footer"/>
                            <w:rPr>
                              <w:rFonts w:ascii="Calibri Light" w:eastAsiaTheme="majorEastAsia" w:hAnsi="Calibri Light" w:cstheme="majorBidi"/>
                              <w:b/>
                              <w:color w:val="6D4190"/>
                              <w:sz w:val="72"/>
                              <w:szCs w:val="72"/>
                            </w:rPr>
                          </w:pPr>
                          <w:r>
                            <w:rPr>
                              <w:rFonts w:ascii="Calibri Light" w:eastAsiaTheme="majorEastAsia" w:hAnsi="Calibri Light" w:cstheme="majorBidi"/>
                              <w:b/>
                              <w:color w:val="6D4190"/>
                              <w:sz w:val="72"/>
                              <w:szCs w:val="72"/>
                            </w:rPr>
                            <w:t xml:space="preserve">Wyndham Gambling </w:t>
                          </w:r>
                          <w:r w:rsidRPr="00661DE4">
                            <w:rPr>
                              <w:rFonts w:ascii="Calibri Light" w:eastAsiaTheme="majorEastAsia" w:hAnsi="Calibri Light" w:cstheme="majorBidi"/>
                              <w:b/>
                              <w:color w:val="7030A0"/>
                              <w:sz w:val="72"/>
                              <w:szCs w:val="72"/>
                            </w:rPr>
                            <w:t>Harm</w:t>
                          </w:r>
                          <w:r>
                            <w:rPr>
                              <w:rFonts w:ascii="Calibri Light" w:eastAsiaTheme="majorEastAsia" w:hAnsi="Calibri Light" w:cstheme="majorBidi"/>
                              <w:b/>
                              <w:color w:val="6D4190"/>
                              <w:sz w:val="72"/>
                              <w:szCs w:val="72"/>
                            </w:rPr>
                            <w:t xml:space="preserve"> Minimisation Policy and Action Plan 2018-2022</w:t>
                          </w:r>
                        </w:p>
                        <w:p w14:paraId="05FE67BA" w14:textId="77777777" w:rsidR="00661DE4" w:rsidRPr="00D80EF2" w:rsidRDefault="00661DE4" w:rsidP="009E4461">
                          <w:pPr>
                            <w:pStyle w:val="Footer"/>
                            <w:rPr>
                              <w:rFonts w:ascii="Calibri Light" w:eastAsiaTheme="majorEastAsia" w:hAnsi="Calibri Light" w:cstheme="majorBidi"/>
                              <w:b/>
                              <w:color w:val="6D4190"/>
                              <w:sz w:val="72"/>
                              <w:szCs w:val="72"/>
                            </w:rPr>
                          </w:pPr>
                          <w:r w:rsidRPr="00D80EF2">
                            <w:rPr>
                              <w:rFonts w:ascii="Calibri Light" w:eastAsiaTheme="majorEastAsia" w:hAnsi="Calibri Light" w:cstheme="majorBidi"/>
                              <w:b/>
                              <w:color w:val="6D4190"/>
                              <w:sz w:val="72"/>
                              <w:szCs w:val="72"/>
                            </w:rPr>
                            <w:t xml:space="preserve"> </w:t>
                          </w:r>
                          <w:r w:rsidRPr="00D80EF2">
                            <w:rPr>
                              <w:rFonts w:ascii="Calibri Light" w:eastAsiaTheme="majorEastAsia" w:hAnsi="Calibri Light" w:cstheme="majorBidi"/>
                              <w:b/>
                              <w:color w:val="6D4190"/>
                              <w:sz w:val="72"/>
                              <w:szCs w:val="72"/>
                            </w:rPr>
                            <w:br/>
                            <w:t>Here</w:t>
                          </w:r>
                        </w:p>
                        <w:p w14:paraId="0BDE0DA2" w14:textId="77777777" w:rsidR="00661DE4" w:rsidRPr="003C2A03" w:rsidRDefault="00661DE4" w:rsidP="009E4461">
                          <w:pPr>
                            <w:rPr>
                              <w:rFonts w:ascii="DaxOT-Medium" w:hAnsi="DaxOT-Medium"/>
                              <w:color w:val="7030A0"/>
                            </w:rPr>
                          </w:pPr>
                        </w:p>
                      </w:txbxContent>
                    </v:textbox>
                  </v:shape>
                </w:pict>
              </mc:Fallback>
            </mc:AlternateContent>
          </w:r>
          <w:r w:rsidR="009E4461" w:rsidRPr="009E4461">
            <w:rPr>
              <w:noProof/>
              <w:lang w:eastAsia="en-AU"/>
            </w:rPr>
            <mc:AlternateContent>
              <mc:Choice Requires="wps">
                <w:drawing>
                  <wp:anchor distT="0" distB="0" distL="114300" distR="114300" simplePos="0" relativeHeight="251657216" behindDoc="0" locked="0" layoutInCell="1" allowOverlap="1" wp14:anchorId="0FDBA7F4" wp14:editId="75886233">
                    <wp:simplePos x="0" y="0"/>
                    <wp:positionH relativeFrom="column">
                      <wp:posOffset>-495773</wp:posOffset>
                    </wp:positionH>
                    <wp:positionV relativeFrom="paragraph">
                      <wp:posOffset>6943090</wp:posOffset>
                    </wp:positionV>
                    <wp:extent cx="4331335" cy="140398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1403985"/>
                            </a:xfrm>
                            <a:prstGeom prst="rect">
                              <a:avLst/>
                            </a:prstGeom>
                            <a:noFill/>
                            <a:ln w="9525">
                              <a:noFill/>
                              <a:miter lim="800000"/>
                              <a:headEnd/>
                              <a:tailEnd/>
                            </a:ln>
                          </wps:spPr>
                          <wps:txbx>
                            <w:txbxContent>
                              <w:p w14:paraId="6BD9E98D" w14:textId="77777777" w:rsidR="00661DE4" w:rsidRPr="003C2A03" w:rsidRDefault="00661DE4" w:rsidP="009E4461">
                                <w:pPr>
                                  <w:jc w:val="both"/>
                                  <w:rPr>
                                    <w:rFonts w:ascii="DaxOT-Regular" w:hAnsi="DaxOT-Regular"/>
                                  </w:rPr>
                                </w:pP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DBA7F4" id="_x0000_t202" coordsize="21600,21600" o:spt="202" path="m,l,21600r21600,l21600,xe">
                    <v:stroke joinstyle="miter"/>
                    <v:path gradientshapeok="t" o:connecttype="rect"/>
                  </v:shapetype>
                  <v:shape id="_x0000_s1027" type="#_x0000_t202" style="position:absolute;margin-left:-39.05pt;margin-top:546.7pt;width:341.0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" filled="f" stroked="f">
                    <v:textbox style="mso-fit-shape-to-text:t">
                      <w:txbxContent>
                        <w:p w14:paraId="6BD9E98D" w14:textId="77777777" w:rsidR="00661DE4" w:rsidRPr="003C2A03" w:rsidRDefault="00661DE4" w:rsidP="009E4461">
                          <w:pPr>
                            <w:jc w:val="both"/>
                            <w:rPr>
                              <w:rFonts w:ascii="DaxOT-Regular" w:hAnsi="DaxOT-Regular"/>
                            </w:rPr>
                          </w:pPr>
                          <w:bookmarkStart w:id="1" w:name="_GoBack"/>
                          <w:bookmarkEnd w:id="1"/>
                        </w:p>
                      </w:txbxContent>
                    </v:textbox>
                  </v:shape>
                </w:pict>
              </mc:Fallback>
            </mc:AlternateContent>
          </w:r>
          <w:r w:rsidR="009E4461">
            <w:br w:type="page"/>
          </w:r>
        </w:p>
      </w:sdtContent>
    </w:sdt>
    <w:p w14:paraId="6E0E3185" w14:textId="77777777" w:rsidR="00661DE4" w:rsidRPr="00894F6F" w:rsidRDefault="00661DE4" w:rsidP="00661DE4">
      <w:pPr>
        <w:jc w:val="center"/>
        <w:rPr>
          <w:rFonts w:eastAsiaTheme="majorEastAsia" w:cstheme="minorHAnsi"/>
          <w:color w:val="365F91" w:themeColor="accent1" w:themeShade="BF"/>
          <w:sz w:val="52"/>
          <w:szCs w:val="52"/>
        </w:rPr>
      </w:pPr>
      <w:r w:rsidRPr="00894F6F">
        <w:rPr>
          <w:rFonts w:eastAsiaTheme="majorEastAsia" w:cstheme="minorHAnsi"/>
          <w:color w:val="365F91" w:themeColor="accent1" w:themeShade="BF"/>
          <w:sz w:val="52"/>
          <w:szCs w:val="52"/>
        </w:rPr>
        <w:lastRenderedPageBreak/>
        <w:br w:type="page"/>
      </w:r>
    </w:p>
    <w:p w14:paraId="318EA185" w14:textId="77777777" w:rsidR="00661DE4" w:rsidRPr="00661DE4" w:rsidRDefault="00661DE4" w:rsidP="00661DE4">
      <w:pPr>
        <w:pStyle w:val="Heading1"/>
        <w:rPr>
          <w:b/>
          <w:color w:val="7030A0"/>
        </w:rPr>
      </w:pPr>
      <w:r w:rsidRPr="00661DE4">
        <w:rPr>
          <w:b/>
          <w:color w:val="7030A0"/>
        </w:rPr>
        <w:lastRenderedPageBreak/>
        <w:t>Foreword from the Mayor</w:t>
      </w:r>
    </w:p>
    <w:p w14:paraId="47D73BDD" w14:textId="77777777" w:rsidR="00661DE4" w:rsidRPr="00894F6F" w:rsidRDefault="00661DE4" w:rsidP="00661DE4">
      <w:r w:rsidRPr="00894F6F">
        <w:t xml:space="preserve">It gives me great pleasure to introduce Wyndham City’s Gambling Harm Minimisation Policy and Action Plan 2018-2022.  </w:t>
      </w:r>
    </w:p>
    <w:p w14:paraId="2720713E" w14:textId="77777777" w:rsidR="00661DE4" w:rsidRPr="00894F6F" w:rsidRDefault="00661DE4" w:rsidP="00661DE4">
      <w:r w:rsidRPr="00894F6F">
        <w:t xml:space="preserve">Our </w:t>
      </w:r>
      <w:bookmarkStart w:id="2" w:name="_Hlk505607161"/>
      <w:r w:rsidRPr="00894F6F">
        <w:t xml:space="preserve">Council has a long-standing commitment to reduce the </w:t>
      </w:r>
      <w:r>
        <w:t>harms</w:t>
      </w:r>
      <w:r w:rsidRPr="00894F6F">
        <w:t xml:space="preserve"> associated with all forms of gambling, especially Electronic Gaming Machines (EGMs) and recognises the cost to our community is not </w:t>
      </w:r>
      <w:r>
        <w:t xml:space="preserve">just </w:t>
      </w:r>
      <w:r w:rsidRPr="00894F6F">
        <w:t xml:space="preserve">financial loss, but also </w:t>
      </w:r>
      <w:r>
        <w:t>has</w:t>
      </w:r>
      <w:r w:rsidRPr="00894F6F">
        <w:t xml:space="preserve"> devastating impacts on the health and wellbeing of individuals, families and businesses throughout our City.</w:t>
      </w:r>
    </w:p>
    <w:p w14:paraId="22A516D7" w14:textId="77777777" w:rsidR="00661DE4" w:rsidRPr="00894F6F" w:rsidRDefault="00661DE4" w:rsidP="00661DE4">
      <w:r w:rsidRPr="00894F6F">
        <w:t xml:space="preserve">In the 2016/2017 financial year our community lost over $97 million dollars on EGMs.  </w:t>
      </w:r>
      <w:bookmarkEnd w:id="2"/>
      <w:r w:rsidRPr="00894F6F">
        <w:t>This policy outlines our position on gambling and reflects the community’s concerns regarding gambling and its effects on the wellbeing of the community.</w:t>
      </w:r>
    </w:p>
    <w:p w14:paraId="3269FC3D" w14:textId="77777777" w:rsidR="00661DE4" w:rsidRPr="00894F6F" w:rsidRDefault="00661DE4" w:rsidP="00661DE4">
      <w:r w:rsidRPr="00894F6F">
        <w:t xml:space="preserve">Our </w:t>
      </w:r>
      <w:r w:rsidRPr="00894F6F">
        <w:rPr>
          <w:b/>
          <w:i/>
        </w:rPr>
        <w:t xml:space="preserve">Gambling Harm Minimisation Policy </w:t>
      </w:r>
      <w:r w:rsidRPr="00894F6F">
        <w:t xml:space="preserve">vision is </w:t>
      </w:r>
      <w:r>
        <w:t>to</w:t>
      </w:r>
      <w:r w:rsidRPr="000A13D0">
        <w:t xml:space="preserve"> protect and promote the health and wellbeing of all Wyndham residents by preventing the harms associated with gambling </w:t>
      </w:r>
      <w:r w:rsidRPr="00894F6F">
        <w:t xml:space="preserve">and has the following </w:t>
      </w:r>
      <w:r>
        <w:t>goals</w:t>
      </w:r>
      <w:r w:rsidRPr="00894F6F">
        <w:t>:</w:t>
      </w:r>
    </w:p>
    <w:p w14:paraId="26FE8A9A" w14:textId="77777777" w:rsidR="00661DE4" w:rsidRDefault="00661DE4" w:rsidP="00661DE4">
      <w:pPr>
        <w:pStyle w:val="ListParagraph"/>
        <w:numPr>
          <w:ilvl w:val="0"/>
          <w:numId w:val="1"/>
        </w:numPr>
      </w:pPr>
      <w:r w:rsidRPr="00894F6F">
        <w:t>Advocate in partnership with community for systemic and legislative change to address gambling harm</w:t>
      </w:r>
      <w:r>
        <w:t>.</w:t>
      </w:r>
    </w:p>
    <w:p w14:paraId="0E17F2A4" w14:textId="77777777" w:rsidR="00661DE4" w:rsidRDefault="00661DE4" w:rsidP="00661DE4">
      <w:pPr>
        <w:pStyle w:val="ListParagraph"/>
        <w:numPr>
          <w:ilvl w:val="0"/>
          <w:numId w:val="1"/>
        </w:numPr>
      </w:pPr>
      <w:r w:rsidRPr="001179EF">
        <w:t>To take a whole of organisation approach and partner with community in preventing and minimising gambling harm and promoting health and wellbeing.</w:t>
      </w:r>
      <w:r w:rsidRPr="00852093">
        <w:t xml:space="preserve"> </w:t>
      </w:r>
    </w:p>
    <w:p w14:paraId="47C43600" w14:textId="77777777" w:rsidR="00661DE4" w:rsidRDefault="00661DE4" w:rsidP="00661DE4">
      <w:pPr>
        <w:pStyle w:val="ListParagraph"/>
        <w:numPr>
          <w:ilvl w:val="0"/>
          <w:numId w:val="1"/>
        </w:numPr>
      </w:pPr>
      <w:r w:rsidRPr="00852093">
        <w:t>To enable</w:t>
      </w:r>
      <w:r>
        <w:t xml:space="preserve"> </w:t>
      </w:r>
      <w:r w:rsidRPr="00852093">
        <w:t xml:space="preserve">community engaged and informed assessment of current and proposed gaming activity, particularly in the </w:t>
      </w:r>
      <w:r>
        <w:t>regulatory</w:t>
      </w:r>
      <w:r w:rsidRPr="00852093">
        <w:t xml:space="preserve"> process.</w:t>
      </w:r>
    </w:p>
    <w:p w14:paraId="4D586F39" w14:textId="77777777" w:rsidR="00661DE4" w:rsidRDefault="00661DE4" w:rsidP="00661DE4">
      <w:pPr>
        <w:pStyle w:val="ListParagraph"/>
        <w:numPr>
          <w:ilvl w:val="0"/>
          <w:numId w:val="1"/>
        </w:numPr>
      </w:pPr>
    </w:p>
    <w:p w14:paraId="54AFB3A6" w14:textId="77777777" w:rsidR="00661DE4" w:rsidRPr="00894F6F" w:rsidRDefault="00661DE4" w:rsidP="00661DE4">
      <w:r w:rsidRPr="005D5AD2">
        <w:t>Together with the action plan, this document outlines our objectives for the short and long term, including  reducing   the number of EGMs in Wyndham.</w:t>
      </w:r>
      <w:r w:rsidRPr="00894F6F">
        <w:t xml:space="preserve"> </w:t>
      </w:r>
    </w:p>
    <w:p w14:paraId="738BCE41" w14:textId="77777777" w:rsidR="00661DE4" w:rsidRPr="00894F6F" w:rsidRDefault="00661DE4" w:rsidP="00661DE4">
      <w:r w:rsidRPr="00894F6F">
        <w:t>The issues of gambling are a whole-of commu</w:t>
      </w:r>
      <w:r>
        <w:t>nity responsibility, and we look</w:t>
      </w:r>
      <w:r w:rsidRPr="00894F6F">
        <w:t xml:space="preserve"> forward to working with residents, local venues, service agencies, the Alliance for Gambling Reform and other stakeholders to improve the health and wellbeing of our community.</w:t>
      </w:r>
    </w:p>
    <w:p w14:paraId="5574837B" w14:textId="77777777" w:rsidR="00661DE4" w:rsidRDefault="00661DE4" w:rsidP="00661DE4"/>
    <w:p w14:paraId="71E4E6DD" w14:textId="77777777" w:rsidR="00661DE4" w:rsidRPr="00894F6F" w:rsidRDefault="00661DE4" w:rsidP="00661DE4"/>
    <w:p w14:paraId="75799CAD" w14:textId="77777777" w:rsidR="00661DE4" w:rsidRPr="00894F6F" w:rsidRDefault="00661DE4" w:rsidP="00661DE4">
      <w:r w:rsidRPr="00894F6F">
        <w:t>Councillor Peter Maynard</w:t>
      </w:r>
    </w:p>
    <w:p w14:paraId="557C845E" w14:textId="77777777" w:rsidR="00661DE4" w:rsidRPr="00894F6F" w:rsidRDefault="00661DE4" w:rsidP="00661DE4">
      <w:r w:rsidRPr="00894F6F">
        <w:t>Mayor</w:t>
      </w:r>
    </w:p>
    <w:p w14:paraId="24EEFD2A" w14:textId="77777777" w:rsidR="00661DE4" w:rsidRDefault="00661DE4" w:rsidP="00661DE4"/>
    <w:p w14:paraId="7F730720" w14:textId="77777777" w:rsidR="00661DE4" w:rsidRDefault="00661DE4" w:rsidP="00661DE4"/>
    <w:p w14:paraId="7AE552C7" w14:textId="77777777" w:rsidR="00661DE4" w:rsidRDefault="00661DE4" w:rsidP="00661DE4">
      <w:r>
        <w:br w:type="page"/>
      </w:r>
    </w:p>
    <w:p w14:paraId="4AA59BBF" w14:textId="77777777" w:rsidR="00661DE4" w:rsidRPr="00EF66B8" w:rsidRDefault="00661DE4" w:rsidP="00EF66B8">
      <w:pPr>
        <w:pStyle w:val="Heading1"/>
        <w:rPr>
          <w:b/>
          <w:color w:val="7030A0"/>
        </w:rPr>
      </w:pPr>
      <w:bookmarkStart w:id="3" w:name="_Hlk507678619"/>
      <w:r w:rsidRPr="00EF66B8">
        <w:rPr>
          <w:b/>
          <w:color w:val="7030A0"/>
        </w:rPr>
        <w:lastRenderedPageBreak/>
        <w:t>Foreword from the Chair of Wyndham Gambling Harm Minimisation Reference Group</w:t>
      </w:r>
    </w:p>
    <w:p w14:paraId="4E54C72D" w14:textId="77777777" w:rsidR="00661DE4" w:rsidRPr="005D5AD2" w:rsidRDefault="00661DE4" w:rsidP="00661DE4">
      <w:pPr>
        <w:pStyle w:val="NormalWeb"/>
        <w:shd w:val="clear" w:color="auto" w:fill="FFFFFF"/>
        <w:rPr>
          <w:rFonts w:asciiTheme="minorHAnsi" w:hAnsiTheme="minorHAnsi" w:cstheme="minorHAnsi"/>
          <w:color w:val="424242"/>
          <w:sz w:val="22"/>
          <w:szCs w:val="22"/>
          <w:lang w:val="en"/>
        </w:rPr>
      </w:pPr>
      <w:r w:rsidRPr="005D5AD2">
        <w:rPr>
          <w:rFonts w:asciiTheme="minorHAnsi" w:hAnsiTheme="minorHAnsi" w:cstheme="minorHAnsi"/>
          <w:color w:val="424242"/>
          <w:sz w:val="22"/>
          <w:szCs w:val="22"/>
          <w:lang w:val="en"/>
        </w:rPr>
        <w:t>Council sees the harms of gambling as a public health issue which has significant impacts on individuals, families and communities.</w:t>
      </w:r>
    </w:p>
    <w:p w14:paraId="2569EC8E" w14:textId="77777777" w:rsidR="00661DE4" w:rsidRPr="005D5AD2" w:rsidRDefault="00661DE4" w:rsidP="00661DE4">
      <w:pPr>
        <w:pStyle w:val="NormalWeb"/>
        <w:shd w:val="clear" w:color="auto" w:fill="FFFFFF"/>
        <w:rPr>
          <w:rFonts w:asciiTheme="minorHAnsi" w:hAnsiTheme="minorHAnsi" w:cstheme="minorHAnsi"/>
          <w:color w:val="424242"/>
          <w:sz w:val="22"/>
          <w:szCs w:val="22"/>
          <w:lang w:val="en"/>
        </w:rPr>
      </w:pPr>
      <w:r w:rsidRPr="005D5AD2">
        <w:rPr>
          <w:rFonts w:asciiTheme="minorHAnsi" w:hAnsiTheme="minorHAnsi" w:cstheme="minorHAnsi"/>
          <w:color w:val="424242"/>
          <w:sz w:val="22"/>
          <w:szCs w:val="22"/>
          <w:lang w:val="en"/>
        </w:rPr>
        <w:t>This Gambling Harm Minimisation Policy and Action Plan has been developed from a strong evidence base.  It takes account of emerging trends and learnings since this Council’s former gambling strategy was developed.</w:t>
      </w:r>
    </w:p>
    <w:p w14:paraId="6BA4C9F1" w14:textId="77777777" w:rsidR="00661DE4" w:rsidRPr="005D5AD2" w:rsidRDefault="00661DE4" w:rsidP="00661DE4">
      <w:pPr>
        <w:pStyle w:val="NormalWeb"/>
        <w:shd w:val="clear" w:color="auto" w:fill="FFFFFF"/>
        <w:rPr>
          <w:rFonts w:asciiTheme="minorHAnsi" w:hAnsiTheme="minorHAnsi" w:cstheme="minorHAnsi"/>
          <w:color w:val="424242"/>
          <w:sz w:val="22"/>
          <w:szCs w:val="22"/>
          <w:lang w:val="en"/>
        </w:rPr>
      </w:pPr>
      <w:r w:rsidRPr="005D5AD2">
        <w:rPr>
          <w:rFonts w:asciiTheme="minorHAnsi" w:hAnsiTheme="minorHAnsi" w:cstheme="minorHAnsi"/>
          <w:color w:val="424242"/>
          <w:sz w:val="22"/>
          <w:szCs w:val="22"/>
          <w:lang w:val="en"/>
        </w:rPr>
        <w:t>It was important to me in developing this Policy and Action Plan that it reflected community concerns and voices regarding gambling in our municipality.  I am also pleased that it expands our focus from Electronic Gaming Machines to also include commitments to address areas of online and sports betting.</w:t>
      </w:r>
    </w:p>
    <w:p w14:paraId="2BE411E5" w14:textId="77777777" w:rsidR="00661DE4" w:rsidRPr="005D5AD2" w:rsidRDefault="00661DE4" w:rsidP="00661DE4">
      <w:pPr>
        <w:pStyle w:val="NormalWeb"/>
        <w:shd w:val="clear" w:color="auto" w:fill="FFFFFF"/>
        <w:rPr>
          <w:rFonts w:asciiTheme="minorHAnsi" w:hAnsiTheme="minorHAnsi" w:cstheme="minorHAnsi"/>
          <w:color w:val="424242"/>
          <w:sz w:val="22"/>
          <w:szCs w:val="22"/>
          <w:lang w:val="en"/>
        </w:rPr>
      </w:pPr>
      <w:r w:rsidRPr="005D5AD2">
        <w:rPr>
          <w:rFonts w:asciiTheme="minorHAnsi" w:hAnsiTheme="minorHAnsi" w:cstheme="minorHAnsi"/>
          <w:color w:val="424242"/>
          <w:sz w:val="22"/>
          <w:szCs w:val="22"/>
          <w:lang w:val="en"/>
        </w:rPr>
        <w:t>We are dedicated to continuing to engage with our local community in taking positive ownership of the issue, decreasing stigma, encouraging help-seeking and participation in gambling-free community spaces and activities.</w:t>
      </w:r>
    </w:p>
    <w:p w14:paraId="678F5508" w14:textId="77777777" w:rsidR="00661DE4" w:rsidRPr="005D5AD2" w:rsidRDefault="00661DE4" w:rsidP="00661DE4">
      <w:pPr>
        <w:pStyle w:val="NormalWeb"/>
        <w:shd w:val="clear" w:color="auto" w:fill="FFFFFF"/>
        <w:rPr>
          <w:rFonts w:asciiTheme="minorHAnsi" w:hAnsiTheme="minorHAnsi" w:cstheme="minorHAnsi"/>
          <w:color w:val="424242"/>
          <w:sz w:val="22"/>
          <w:szCs w:val="22"/>
          <w:lang w:val="en"/>
        </w:rPr>
      </w:pPr>
      <w:r w:rsidRPr="005D5AD2">
        <w:rPr>
          <w:rFonts w:asciiTheme="minorHAnsi" w:hAnsiTheme="minorHAnsi" w:cstheme="minorHAnsi"/>
          <w:color w:val="424242"/>
          <w:sz w:val="22"/>
          <w:szCs w:val="22"/>
          <w:lang w:val="en"/>
        </w:rPr>
        <w:t>As Chair of Wyndham Gamb</w:t>
      </w:r>
      <w:r>
        <w:rPr>
          <w:rFonts w:asciiTheme="minorHAnsi" w:hAnsiTheme="minorHAnsi" w:cstheme="minorHAnsi"/>
          <w:color w:val="424242"/>
          <w:sz w:val="22"/>
          <w:szCs w:val="22"/>
          <w:lang w:val="en"/>
        </w:rPr>
        <w:t>l</w:t>
      </w:r>
      <w:r w:rsidRPr="005D5AD2">
        <w:rPr>
          <w:rFonts w:asciiTheme="minorHAnsi" w:hAnsiTheme="minorHAnsi" w:cstheme="minorHAnsi"/>
          <w:color w:val="424242"/>
          <w:sz w:val="22"/>
          <w:szCs w:val="22"/>
          <w:lang w:val="en"/>
        </w:rPr>
        <w:t xml:space="preserve">ing Harm Minimisation Reference Group, I would like to take this opportunity to acknowledge and thank all members of the Reference Group for their valuable contribution to the development of The Gambling Harm Minimisation Policy and Action Plan. </w:t>
      </w:r>
    </w:p>
    <w:p w14:paraId="00BE01C1" w14:textId="77777777" w:rsidR="00661DE4" w:rsidRPr="005D5AD2" w:rsidRDefault="00661DE4" w:rsidP="00661DE4">
      <w:pPr>
        <w:numPr>
          <w:ilvl w:val="0"/>
          <w:numId w:val="23"/>
        </w:numPr>
        <w:shd w:val="clear" w:color="auto" w:fill="FFFFFF"/>
        <w:spacing w:before="100" w:beforeAutospacing="1" w:after="100" w:afterAutospacing="1" w:line="240" w:lineRule="auto"/>
        <w:rPr>
          <w:rFonts w:eastAsia="Times New Roman"/>
          <w:lang w:val="en" w:eastAsia="en-AU"/>
        </w:rPr>
      </w:pPr>
      <w:r w:rsidRPr="005D5AD2">
        <w:rPr>
          <w:rFonts w:eastAsia="Times New Roman"/>
          <w:lang w:val="en" w:eastAsia="en-AU"/>
        </w:rPr>
        <w:t>Rose Babic (Victorian Responsible Gambling Foundation)</w:t>
      </w:r>
    </w:p>
    <w:p w14:paraId="14560788" w14:textId="77777777" w:rsidR="00661DE4" w:rsidRPr="005D5AD2" w:rsidRDefault="00661DE4" w:rsidP="00661DE4">
      <w:pPr>
        <w:numPr>
          <w:ilvl w:val="0"/>
          <w:numId w:val="23"/>
        </w:numPr>
        <w:shd w:val="clear" w:color="auto" w:fill="FFFFFF"/>
        <w:spacing w:before="100" w:beforeAutospacing="1" w:after="100" w:afterAutospacing="1" w:line="240" w:lineRule="auto"/>
        <w:rPr>
          <w:rFonts w:eastAsia="Times New Roman"/>
          <w:lang w:val="en" w:eastAsia="en-AU"/>
        </w:rPr>
      </w:pPr>
      <w:r w:rsidRPr="005D5AD2">
        <w:rPr>
          <w:rFonts w:eastAsia="Times New Roman"/>
          <w:lang w:val="en" w:eastAsia="en-AU"/>
        </w:rPr>
        <w:t>Denis Nelthorpe (Westjustice)</w:t>
      </w:r>
    </w:p>
    <w:p w14:paraId="436BABA6" w14:textId="77777777" w:rsidR="00661DE4" w:rsidRPr="005D5AD2" w:rsidRDefault="00661DE4" w:rsidP="00661DE4">
      <w:pPr>
        <w:numPr>
          <w:ilvl w:val="0"/>
          <w:numId w:val="23"/>
        </w:numPr>
        <w:shd w:val="clear" w:color="auto" w:fill="FFFFFF"/>
        <w:spacing w:before="100" w:beforeAutospacing="1" w:after="100" w:afterAutospacing="1" w:line="240" w:lineRule="auto"/>
        <w:rPr>
          <w:rFonts w:eastAsia="Times New Roman"/>
          <w:lang w:val="en" w:eastAsia="en-AU"/>
        </w:rPr>
      </w:pPr>
      <w:r w:rsidRPr="005D5AD2">
        <w:rPr>
          <w:rFonts w:eastAsia="Times New Roman"/>
          <w:lang w:val="en" w:eastAsia="en-AU"/>
        </w:rPr>
        <w:t>Carol Muir (formerly of Uniting Wyndham)</w:t>
      </w:r>
    </w:p>
    <w:p w14:paraId="14A4C9F9" w14:textId="77777777" w:rsidR="00661DE4" w:rsidRPr="005D5AD2" w:rsidRDefault="00661DE4" w:rsidP="00661DE4">
      <w:pPr>
        <w:numPr>
          <w:ilvl w:val="0"/>
          <w:numId w:val="23"/>
        </w:numPr>
        <w:shd w:val="clear" w:color="auto" w:fill="FFFFFF"/>
        <w:spacing w:before="100" w:beforeAutospacing="1" w:after="100" w:afterAutospacing="1" w:line="240" w:lineRule="auto"/>
        <w:rPr>
          <w:rFonts w:eastAsia="Times New Roman"/>
          <w:lang w:val="en" w:eastAsia="en-AU"/>
        </w:rPr>
      </w:pPr>
      <w:r w:rsidRPr="005D5AD2">
        <w:rPr>
          <w:rFonts w:eastAsia="Times New Roman"/>
          <w:lang w:val="en" w:eastAsia="en-AU"/>
        </w:rPr>
        <w:t>Ian Ferretter (IPC Health)</w:t>
      </w:r>
    </w:p>
    <w:p w14:paraId="10E51C58" w14:textId="77777777" w:rsidR="00661DE4" w:rsidRPr="005D5AD2" w:rsidRDefault="00661DE4" w:rsidP="00661DE4">
      <w:pPr>
        <w:numPr>
          <w:ilvl w:val="0"/>
          <w:numId w:val="23"/>
        </w:numPr>
        <w:shd w:val="clear" w:color="auto" w:fill="FFFFFF"/>
        <w:spacing w:before="100" w:beforeAutospacing="1" w:after="100" w:afterAutospacing="1" w:line="240" w:lineRule="auto"/>
        <w:rPr>
          <w:rFonts w:eastAsia="Times New Roman"/>
          <w:lang w:val="en" w:eastAsia="en-AU"/>
        </w:rPr>
      </w:pPr>
      <w:r w:rsidRPr="005D5AD2">
        <w:rPr>
          <w:rFonts w:eastAsia="Times New Roman"/>
          <w:lang w:val="en" w:eastAsia="en-AU"/>
        </w:rPr>
        <w:t>Carlos Poveda Rayo (Anglicare)</w:t>
      </w:r>
    </w:p>
    <w:p w14:paraId="407D0900" w14:textId="77777777" w:rsidR="00661DE4" w:rsidRPr="005D5AD2" w:rsidRDefault="00661DE4" w:rsidP="00661DE4">
      <w:pPr>
        <w:numPr>
          <w:ilvl w:val="0"/>
          <w:numId w:val="23"/>
        </w:numPr>
        <w:shd w:val="clear" w:color="auto" w:fill="FFFFFF"/>
        <w:spacing w:before="100" w:beforeAutospacing="1" w:after="100" w:afterAutospacing="1" w:line="240" w:lineRule="auto"/>
        <w:rPr>
          <w:rFonts w:eastAsia="Times New Roman"/>
          <w:lang w:val="en" w:eastAsia="en-AU"/>
        </w:rPr>
      </w:pPr>
      <w:r w:rsidRPr="005D5AD2">
        <w:rPr>
          <w:rFonts w:eastAsia="Times New Roman"/>
          <w:lang w:val="en" w:eastAsia="en-AU"/>
        </w:rPr>
        <w:t>Mae Sie Win (Wyndham Community and Education Centre)</w:t>
      </w:r>
    </w:p>
    <w:p w14:paraId="17CF2536" w14:textId="77777777" w:rsidR="00661DE4" w:rsidRPr="005D5AD2" w:rsidRDefault="00661DE4" w:rsidP="00661DE4">
      <w:pPr>
        <w:numPr>
          <w:ilvl w:val="0"/>
          <w:numId w:val="23"/>
        </w:numPr>
        <w:shd w:val="clear" w:color="auto" w:fill="FFFFFF"/>
        <w:spacing w:before="100" w:beforeAutospacing="1" w:after="100" w:afterAutospacing="1" w:line="240" w:lineRule="auto"/>
        <w:rPr>
          <w:rFonts w:eastAsia="Times New Roman"/>
          <w:lang w:val="en" w:eastAsia="en-AU"/>
        </w:rPr>
      </w:pPr>
      <w:r w:rsidRPr="005D5AD2">
        <w:rPr>
          <w:rFonts w:eastAsia="Times New Roman"/>
          <w:lang w:val="en" w:eastAsia="en-AU"/>
        </w:rPr>
        <w:t>Dimity Gannon (formerly of Health West)</w:t>
      </w:r>
    </w:p>
    <w:p w14:paraId="00D344CA" w14:textId="77777777" w:rsidR="00661DE4" w:rsidRPr="005D5AD2" w:rsidRDefault="00661DE4" w:rsidP="00661DE4">
      <w:pPr>
        <w:pStyle w:val="NormalWeb"/>
        <w:shd w:val="clear" w:color="auto" w:fill="FFFFFF"/>
        <w:rPr>
          <w:rFonts w:asciiTheme="minorHAnsi" w:hAnsiTheme="minorHAnsi" w:cstheme="minorHAnsi"/>
          <w:color w:val="424242"/>
          <w:sz w:val="22"/>
          <w:szCs w:val="22"/>
          <w:lang w:val="en"/>
        </w:rPr>
      </w:pPr>
      <w:r w:rsidRPr="005D5AD2">
        <w:rPr>
          <w:rFonts w:asciiTheme="minorHAnsi" w:hAnsiTheme="minorHAnsi" w:cstheme="minorHAnsi"/>
          <w:color w:val="424242"/>
          <w:sz w:val="22"/>
          <w:szCs w:val="22"/>
          <w:lang w:val="en"/>
        </w:rPr>
        <w:t>Their strategic advice has resulted in a robust document that can be implemented and address the devastating impacts caused by gambling on the health and wellbeing of individuals, families and businesses in our City.</w:t>
      </w:r>
    </w:p>
    <w:p w14:paraId="4402A764" w14:textId="77777777" w:rsidR="00661DE4" w:rsidRPr="005D5AD2" w:rsidRDefault="00661DE4" w:rsidP="00661DE4">
      <w:pPr>
        <w:pStyle w:val="NormalWeb"/>
        <w:shd w:val="clear" w:color="auto" w:fill="FFFFFF"/>
        <w:rPr>
          <w:rFonts w:asciiTheme="minorHAnsi" w:hAnsiTheme="minorHAnsi" w:cstheme="minorHAnsi"/>
          <w:color w:val="424242"/>
          <w:sz w:val="22"/>
          <w:szCs w:val="22"/>
          <w:lang w:val="en"/>
        </w:rPr>
      </w:pPr>
      <w:r w:rsidRPr="005D5AD2">
        <w:rPr>
          <w:rFonts w:asciiTheme="minorHAnsi" w:hAnsiTheme="minorHAnsi" w:cstheme="minorHAnsi"/>
          <w:color w:val="424242"/>
          <w:sz w:val="22"/>
          <w:szCs w:val="22"/>
          <w:lang w:val="en"/>
        </w:rPr>
        <w:t>I look forward to seeing this Policy and Action Plan implemented and to working with the Wyndham community to create a fairer society where social and economic harm from all form of gambling are addressed.</w:t>
      </w:r>
    </w:p>
    <w:p w14:paraId="34DC6F09" w14:textId="77777777" w:rsidR="00661DE4" w:rsidRPr="005D5AD2" w:rsidRDefault="00661DE4" w:rsidP="00661DE4">
      <w:pPr>
        <w:pStyle w:val="NormalWeb"/>
        <w:shd w:val="clear" w:color="auto" w:fill="FFFFFF"/>
        <w:rPr>
          <w:rFonts w:asciiTheme="minorHAnsi" w:hAnsiTheme="minorHAnsi" w:cstheme="minorHAnsi"/>
          <w:color w:val="424242"/>
          <w:sz w:val="22"/>
          <w:szCs w:val="22"/>
          <w:lang w:val="en"/>
        </w:rPr>
      </w:pPr>
    </w:p>
    <w:p w14:paraId="079C8B0F" w14:textId="77777777" w:rsidR="00661DE4" w:rsidRPr="005D5AD2" w:rsidRDefault="00661DE4" w:rsidP="00661DE4">
      <w:pPr>
        <w:pStyle w:val="NormalWeb"/>
        <w:shd w:val="clear" w:color="auto" w:fill="FFFFFF"/>
        <w:rPr>
          <w:rFonts w:asciiTheme="minorHAnsi" w:hAnsiTheme="minorHAnsi" w:cstheme="minorHAnsi"/>
          <w:color w:val="424242"/>
          <w:sz w:val="22"/>
          <w:szCs w:val="22"/>
          <w:lang w:val="en"/>
        </w:rPr>
      </w:pPr>
      <w:r w:rsidRPr="005D5AD2">
        <w:rPr>
          <w:rFonts w:asciiTheme="minorHAnsi" w:hAnsiTheme="minorHAnsi" w:cstheme="minorHAnsi"/>
          <w:color w:val="424242"/>
          <w:sz w:val="22"/>
          <w:szCs w:val="22"/>
          <w:lang w:val="en"/>
        </w:rPr>
        <w:t>Councillor Josh Gilligan</w:t>
      </w:r>
    </w:p>
    <w:p w14:paraId="1B8F6950" w14:textId="77777777" w:rsidR="00661DE4" w:rsidRPr="0053132B" w:rsidRDefault="00661DE4" w:rsidP="00661DE4">
      <w:pPr>
        <w:pStyle w:val="NormalWeb"/>
        <w:shd w:val="clear" w:color="auto" w:fill="FFFFFF"/>
        <w:rPr>
          <w:rFonts w:asciiTheme="minorHAnsi" w:hAnsiTheme="minorHAnsi" w:cstheme="minorHAnsi"/>
          <w:color w:val="424242"/>
          <w:sz w:val="22"/>
          <w:szCs w:val="22"/>
          <w:lang w:val="en"/>
        </w:rPr>
      </w:pPr>
      <w:r w:rsidRPr="005D5AD2">
        <w:rPr>
          <w:rFonts w:asciiTheme="minorHAnsi" w:hAnsiTheme="minorHAnsi" w:cstheme="minorHAnsi"/>
          <w:color w:val="424242"/>
          <w:sz w:val="22"/>
          <w:szCs w:val="22"/>
          <w:lang w:val="en"/>
        </w:rPr>
        <w:t>Chair Wyndham Gambling Harm Minimisation Reference Group</w:t>
      </w:r>
    </w:p>
    <w:bookmarkEnd w:id="3"/>
    <w:p w14:paraId="67C7D1A4" w14:textId="77777777" w:rsidR="00661DE4" w:rsidRDefault="00661DE4" w:rsidP="00661DE4"/>
    <w:p w14:paraId="77C26787" w14:textId="77777777" w:rsidR="00661DE4" w:rsidRPr="00894F6F" w:rsidRDefault="00661DE4" w:rsidP="00661DE4"/>
    <w:p w14:paraId="780A95E8" w14:textId="77777777" w:rsidR="00661DE4" w:rsidRPr="00EF66B8" w:rsidRDefault="00661DE4" w:rsidP="00661DE4">
      <w:pPr>
        <w:pStyle w:val="Heading1"/>
        <w:rPr>
          <w:b/>
          <w:color w:val="7030A0"/>
        </w:rPr>
      </w:pPr>
      <w:r w:rsidRPr="00EF66B8">
        <w:rPr>
          <w:b/>
          <w:color w:val="7030A0"/>
        </w:rPr>
        <w:lastRenderedPageBreak/>
        <w:t>Introduction</w:t>
      </w:r>
    </w:p>
    <w:p w14:paraId="4925ECD4" w14:textId="77777777" w:rsidR="00661DE4" w:rsidRPr="00852093" w:rsidRDefault="00661DE4" w:rsidP="00661DE4"/>
    <w:p w14:paraId="4EFB4B1E" w14:textId="77777777" w:rsidR="00661DE4" w:rsidRPr="00894F6F" w:rsidRDefault="00661DE4" w:rsidP="00661DE4">
      <w:pPr>
        <w:rPr>
          <w:bCs/>
        </w:rPr>
      </w:pPr>
      <w:bookmarkStart w:id="4" w:name="_Hlk503191905"/>
      <w:r w:rsidRPr="00894F6F">
        <w:rPr>
          <w:bCs/>
        </w:rPr>
        <w:t>Gambling is a multi-faceted industry that includes lotto, ‘scratchies’, table games, racing, sports betting, electronic gaming machines (EGMs) and online gambling. EGMs are the most dominant source of financial loss and harm from gambling in Australia.</w:t>
      </w:r>
      <w:r>
        <w:rPr>
          <w:bCs/>
        </w:rPr>
        <w:t xml:space="preserve">  </w:t>
      </w:r>
    </w:p>
    <w:p w14:paraId="197DB064" w14:textId="77777777" w:rsidR="00661DE4" w:rsidRPr="00894F6F" w:rsidRDefault="00661DE4" w:rsidP="00661DE4">
      <w:pPr>
        <w:pStyle w:val="Default"/>
        <w:rPr>
          <w:rFonts w:asciiTheme="minorHAnsi" w:hAnsiTheme="minorHAnsi"/>
          <w:sz w:val="22"/>
          <w:szCs w:val="22"/>
        </w:rPr>
      </w:pPr>
      <w:r w:rsidRPr="00894F6F">
        <w:rPr>
          <w:rFonts w:asciiTheme="minorHAnsi" w:hAnsiTheme="minorHAnsi"/>
          <w:sz w:val="22"/>
          <w:szCs w:val="22"/>
        </w:rPr>
        <w:t>Harm from gambling impacts not only the player (the individual), but also affect</w:t>
      </w:r>
      <w:r>
        <w:rPr>
          <w:rFonts w:asciiTheme="minorHAnsi" w:hAnsiTheme="minorHAnsi"/>
          <w:sz w:val="22"/>
          <w:szCs w:val="22"/>
        </w:rPr>
        <w:t>s</w:t>
      </w:r>
      <w:r w:rsidRPr="00894F6F">
        <w:rPr>
          <w:rFonts w:asciiTheme="minorHAnsi" w:hAnsiTheme="minorHAnsi"/>
          <w:sz w:val="22"/>
          <w:szCs w:val="22"/>
        </w:rPr>
        <w:t xml:space="preserve"> family members, friends, local businesses and communities. </w:t>
      </w:r>
    </w:p>
    <w:bookmarkEnd w:id="4"/>
    <w:p w14:paraId="05E4B4CA" w14:textId="77777777" w:rsidR="00661DE4" w:rsidRPr="00894F6F" w:rsidRDefault="00661DE4" w:rsidP="00661DE4">
      <w:pPr>
        <w:pStyle w:val="Default"/>
        <w:rPr>
          <w:rFonts w:asciiTheme="minorHAnsi" w:hAnsiTheme="minorHAnsi"/>
          <w:sz w:val="22"/>
          <w:szCs w:val="22"/>
        </w:rPr>
      </w:pPr>
    </w:p>
    <w:p w14:paraId="31F84F4C" w14:textId="77777777" w:rsidR="00661DE4" w:rsidRDefault="00661DE4" w:rsidP="00661DE4">
      <w:bookmarkStart w:id="5" w:name="_Hlk503192001"/>
      <w:r w:rsidRPr="00894F6F">
        <w:t xml:space="preserve">Local government has legislative requirements to protect and promote the health and wellbeing of the community. This includes protecting communities from the risks and </w:t>
      </w:r>
      <w:r>
        <w:t>harms</w:t>
      </w:r>
      <w:r w:rsidRPr="00894F6F">
        <w:t xml:space="preserve"> associated with gambling.</w:t>
      </w:r>
      <w:r>
        <w:t xml:space="preserve">  </w:t>
      </w:r>
      <w:r w:rsidRPr="00894F6F">
        <w:t xml:space="preserve">Local government’s influence on gaming is twofold, the Wyndham Planning Scheme is Council’s regulatory response, while </w:t>
      </w:r>
      <w:r>
        <w:t>this</w:t>
      </w:r>
      <w:r w:rsidRPr="00894F6F">
        <w:t xml:space="preserve"> new </w:t>
      </w:r>
      <w:r>
        <w:t xml:space="preserve">Wyndham </w:t>
      </w:r>
      <w:r w:rsidRPr="00894F6F">
        <w:t xml:space="preserve">Gambling Harm Minimisation Policy 2018 - 2022 </w:t>
      </w:r>
      <w:r>
        <w:t xml:space="preserve">and </w:t>
      </w:r>
      <w:r w:rsidRPr="008B1760">
        <w:t>action plan will provide a means to address social issues.</w:t>
      </w:r>
      <w:r w:rsidRPr="00852093">
        <w:t xml:space="preserve"> </w:t>
      </w:r>
    </w:p>
    <w:p w14:paraId="1E06ED01" w14:textId="77777777" w:rsidR="00661DE4" w:rsidRPr="009A397B" w:rsidRDefault="00661DE4" w:rsidP="00661DE4">
      <w:pPr>
        <w:rPr>
          <w:bCs/>
        </w:rPr>
      </w:pPr>
      <w:r w:rsidRPr="00852093">
        <w:t>The Gambling Harm Minimisation Policy</w:t>
      </w:r>
      <w:r>
        <w:t xml:space="preserve"> and Action Plan</w:t>
      </w:r>
      <w:r w:rsidRPr="00852093">
        <w:t xml:space="preserve"> 2018-2022 replaces Council’s two previous position statements, the Electronic Gaming Machine Policy adopted in 2010 and Wyndham City’s Responsible Gambling Strategy 2012-2014 adopted in 2012. </w:t>
      </w:r>
      <w:r>
        <w:t xml:space="preserve"> </w:t>
      </w:r>
      <w:r>
        <w:rPr>
          <w:bCs/>
        </w:rPr>
        <w:t xml:space="preserve">The focus of this policy is on EGMS, online gaming and sports betting.  </w:t>
      </w:r>
      <w:r>
        <w:t xml:space="preserve">Developed from a public health perspective </w:t>
      </w:r>
      <w:r w:rsidRPr="0070579B">
        <w:t>and based on best evidence and data, the policy seeks to minimise the impact of gambling on the</w:t>
      </w:r>
      <w:r w:rsidRPr="00852093">
        <w:t xml:space="preserve"> Wyndham community</w:t>
      </w:r>
      <w:r>
        <w:t xml:space="preserve">; </w:t>
      </w:r>
      <w:r w:rsidRPr="00852093">
        <w:t>facilitate transparent and consistent responses to applications to relevant statutory authorities and work in partnership with service providers and residents to minimise gambling associated harm</w:t>
      </w:r>
      <w:r>
        <w:t xml:space="preserve"> and advocate for policy and legislative change</w:t>
      </w:r>
      <w:r w:rsidRPr="00852093">
        <w:t>.</w:t>
      </w:r>
    </w:p>
    <w:p w14:paraId="0ABF0367" w14:textId="77777777" w:rsidR="00661DE4" w:rsidRDefault="00661DE4" w:rsidP="00661DE4">
      <w:r>
        <w:t>The document is in two parts:</w:t>
      </w:r>
    </w:p>
    <w:p w14:paraId="5CF23732" w14:textId="77777777" w:rsidR="00661DE4" w:rsidRDefault="00661DE4" w:rsidP="00661DE4">
      <w:pPr>
        <w:ind w:left="720"/>
      </w:pPr>
      <w:r>
        <w:t>Part 1: The policy and action plan: This outlines the vision, goals and objectives that will guide Council’s actions over the next 4 years together with implementation actions for each objective.</w:t>
      </w:r>
    </w:p>
    <w:p w14:paraId="533C5C85" w14:textId="77777777" w:rsidR="00661DE4" w:rsidRDefault="00661DE4" w:rsidP="00661DE4">
      <w:pPr>
        <w:ind w:left="720"/>
      </w:pPr>
      <w:r>
        <w:t>Part 2: The evidence base:  This provides an overview of the evidence base that underpins the policy and action plan.</w:t>
      </w:r>
    </w:p>
    <w:p w14:paraId="4DB62E9C" w14:textId="77777777" w:rsidR="00661DE4" w:rsidRDefault="00661DE4" w:rsidP="00661DE4">
      <w:pPr>
        <w:pStyle w:val="Heading1"/>
        <w:rPr>
          <w:rFonts w:asciiTheme="minorHAnsi" w:eastAsiaTheme="minorHAnsi" w:hAnsiTheme="minorHAnsi" w:cstheme="minorBidi"/>
          <w:color w:val="auto"/>
          <w:sz w:val="22"/>
          <w:szCs w:val="22"/>
        </w:rPr>
      </w:pPr>
    </w:p>
    <w:p w14:paraId="6126FDC6" w14:textId="77777777" w:rsidR="00661DE4" w:rsidRPr="00EF66B8" w:rsidRDefault="00661DE4" w:rsidP="00661DE4">
      <w:pPr>
        <w:pStyle w:val="Heading1"/>
        <w:rPr>
          <w:b/>
          <w:color w:val="7030A0"/>
        </w:rPr>
      </w:pPr>
      <w:r w:rsidRPr="00EF66B8">
        <w:rPr>
          <w:b/>
          <w:color w:val="7030A0"/>
        </w:rPr>
        <w:t>Context</w:t>
      </w:r>
    </w:p>
    <w:p w14:paraId="2FE26C5F" w14:textId="77777777" w:rsidR="00661DE4" w:rsidRPr="00B32A1C" w:rsidRDefault="00661DE4" w:rsidP="00661DE4"/>
    <w:p w14:paraId="1C645161" w14:textId="77777777" w:rsidR="00661DE4" w:rsidRDefault="00661DE4" w:rsidP="00661DE4">
      <w:r>
        <w:t>The Gambling Harm Minimisation Policy and Action Plan has been developed with a strong evidence base and to take account of emerging trends and learnings since the former gambling strategy was developed.  Key factors are summarised below as context to the Policy with more detail available in Part 2: The Evidence Base.</w:t>
      </w:r>
    </w:p>
    <w:p w14:paraId="4F92BA0C" w14:textId="77777777" w:rsidR="00661DE4" w:rsidRPr="00F334FF" w:rsidRDefault="00661DE4" w:rsidP="00661DE4">
      <w:pPr>
        <w:rPr>
          <w:i/>
        </w:rPr>
      </w:pPr>
      <w:r w:rsidRPr="00F334FF">
        <w:rPr>
          <w:i/>
        </w:rPr>
        <w:t>A growing Wyndham</w:t>
      </w:r>
    </w:p>
    <w:p w14:paraId="4AF846F5" w14:textId="77777777" w:rsidR="00661DE4" w:rsidRDefault="00661DE4" w:rsidP="00661DE4">
      <w:r>
        <w:t xml:space="preserve">The population of Wyndham has grown by over a third since 2012, with almost 60,000 new residents moving to the area. Wyndham is a dynamic, diverse and vibrant community with many strengths.   </w:t>
      </w:r>
      <w:r>
        <w:lastRenderedPageBreak/>
        <w:t>Its fast-paced growth also brings challenges, with infrastructure and services struggling to keep up.  There are indicators that a significant proportion of the Wyndham population are facing socio- economic disadvantage; unemployment is higher than Greater Melbourne and Victoria; and there are high levels of rental evictions and mortgage delinquency, as well as growing levels of family violence.</w:t>
      </w:r>
    </w:p>
    <w:p w14:paraId="31C714B9" w14:textId="77777777" w:rsidR="00661DE4" w:rsidRPr="005027A2" w:rsidRDefault="00661DE4" w:rsidP="00661DE4">
      <w:r w:rsidRPr="00D027FB">
        <w:t>Recent research shows that harm caused by gambling is disproportionately concentrated among Victorians who are experiencing multiple disadvantages. This harm was assessed to be above that of diabetes or arthritis, and equivalent to two thirds of the harm caused by depression</w:t>
      </w:r>
      <w:r>
        <w:t>.</w:t>
      </w:r>
      <w:r w:rsidRPr="00D027FB">
        <w:t xml:space="preserve"> </w:t>
      </w:r>
    </w:p>
    <w:p w14:paraId="3D72D061" w14:textId="77777777" w:rsidR="00661DE4" w:rsidRDefault="00661DE4" w:rsidP="00661DE4">
      <w:pPr>
        <w:rPr>
          <w:i/>
        </w:rPr>
      </w:pPr>
      <w:r>
        <w:rPr>
          <w:i/>
        </w:rPr>
        <w:t>Harms of gambling</w:t>
      </w:r>
    </w:p>
    <w:p w14:paraId="78B0E48A" w14:textId="77777777" w:rsidR="00661DE4" w:rsidRPr="00894F6F" w:rsidRDefault="00661DE4" w:rsidP="00661DE4">
      <w:r w:rsidRPr="00894F6F">
        <w:t xml:space="preserve">In April 2016 the Victorian Responsible Gambling Foundation (VRGF) released </w:t>
      </w:r>
      <w:r w:rsidRPr="00894F6F">
        <w:rPr>
          <w:i/>
        </w:rPr>
        <w:t>‘Assessing gambling related harm in Victoria’</w:t>
      </w:r>
      <w:r w:rsidRPr="00894F6F">
        <w:rPr>
          <w:rStyle w:val="FootnoteReference"/>
          <w:i/>
        </w:rPr>
        <w:footnoteReference w:id="1"/>
      </w:r>
      <w:r w:rsidRPr="00894F6F">
        <w:t xml:space="preserve">, a comprehensive report detailing the full breadth of gambling related harm experienced among the Victorian population. </w:t>
      </w:r>
    </w:p>
    <w:p w14:paraId="353C7107" w14:textId="77777777" w:rsidR="00661DE4" w:rsidRPr="00894F6F" w:rsidRDefault="00661DE4" w:rsidP="00661DE4">
      <w:pPr>
        <w:spacing w:after="0"/>
        <w:rPr>
          <w:rFonts w:ascii="Calibri" w:eastAsia="Times New Roman" w:hAnsi="Calibri" w:cs="Times New Roman"/>
        </w:rPr>
      </w:pPr>
      <w:r w:rsidRPr="00894F6F">
        <w:rPr>
          <w:rFonts w:ascii="Calibri" w:eastAsia="Times New Roman" w:hAnsi="Calibri" w:cs="Times New Roman"/>
        </w:rPr>
        <w:t xml:space="preserve">The report divides </w:t>
      </w:r>
      <w:r w:rsidRPr="00894F6F">
        <w:t xml:space="preserve">gambling related harm into the following seven areas: </w:t>
      </w:r>
    </w:p>
    <w:p w14:paraId="6AC8ECC9" w14:textId="77777777" w:rsidR="00661DE4" w:rsidRPr="00894F6F" w:rsidRDefault="00661DE4" w:rsidP="00661DE4">
      <w:pPr>
        <w:pStyle w:val="NoSpacing"/>
        <w:numPr>
          <w:ilvl w:val="0"/>
          <w:numId w:val="7"/>
        </w:numPr>
        <w:rPr>
          <w:lang w:val="en-AU"/>
        </w:rPr>
      </w:pPr>
      <w:r w:rsidRPr="00894F6F">
        <w:rPr>
          <w:lang w:val="en-AU"/>
        </w:rPr>
        <w:t>Financial harm</w:t>
      </w:r>
    </w:p>
    <w:p w14:paraId="3930D3A8" w14:textId="77777777" w:rsidR="00661DE4" w:rsidRPr="00894F6F" w:rsidRDefault="00661DE4" w:rsidP="00661DE4">
      <w:pPr>
        <w:pStyle w:val="NoSpacing"/>
        <w:numPr>
          <w:ilvl w:val="0"/>
          <w:numId w:val="7"/>
        </w:numPr>
        <w:rPr>
          <w:lang w:val="en-AU"/>
        </w:rPr>
      </w:pPr>
      <w:r w:rsidRPr="00894F6F">
        <w:rPr>
          <w:lang w:val="en-AU"/>
        </w:rPr>
        <w:t xml:space="preserve">Relationship disruption, </w:t>
      </w:r>
    </w:p>
    <w:p w14:paraId="21349898" w14:textId="77777777" w:rsidR="00661DE4" w:rsidRPr="00894F6F" w:rsidRDefault="00661DE4" w:rsidP="00661DE4">
      <w:pPr>
        <w:pStyle w:val="NoSpacing"/>
        <w:numPr>
          <w:ilvl w:val="0"/>
          <w:numId w:val="7"/>
        </w:numPr>
        <w:rPr>
          <w:lang w:val="en-AU"/>
        </w:rPr>
      </w:pPr>
      <w:r w:rsidRPr="00894F6F">
        <w:rPr>
          <w:lang w:val="en-AU"/>
        </w:rPr>
        <w:t xml:space="preserve">Emotional or psychological distress </w:t>
      </w:r>
    </w:p>
    <w:p w14:paraId="79CEBA69" w14:textId="77777777" w:rsidR="00661DE4" w:rsidRPr="00894F6F" w:rsidRDefault="00661DE4" w:rsidP="00661DE4">
      <w:pPr>
        <w:pStyle w:val="NoSpacing"/>
        <w:numPr>
          <w:ilvl w:val="0"/>
          <w:numId w:val="7"/>
        </w:numPr>
        <w:rPr>
          <w:lang w:val="en-AU"/>
        </w:rPr>
      </w:pPr>
      <w:r w:rsidRPr="00894F6F">
        <w:rPr>
          <w:lang w:val="en-AU"/>
        </w:rPr>
        <w:t>Detriments to health</w:t>
      </w:r>
    </w:p>
    <w:p w14:paraId="0AD23B05" w14:textId="77777777" w:rsidR="00661DE4" w:rsidRPr="00894F6F" w:rsidRDefault="00661DE4" w:rsidP="00661DE4">
      <w:pPr>
        <w:pStyle w:val="NoSpacing"/>
        <w:numPr>
          <w:ilvl w:val="0"/>
          <w:numId w:val="7"/>
        </w:numPr>
        <w:rPr>
          <w:lang w:val="en-AU"/>
        </w:rPr>
      </w:pPr>
      <w:r w:rsidRPr="00894F6F">
        <w:rPr>
          <w:lang w:val="en-AU"/>
        </w:rPr>
        <w:t xml:space="preserve">Cultural harm </w:t>
      </w:r>
    </w:p>
    <w:p w14:paraId="3E2EDF72" w14:textId="77777777" w:rsidR="00661DE4" w:rsidRPr="00894F6F" w:rsidRDefault="00661DE4" w:rsidP="00661DE4">
      <w:pPr>
        <w:pStyle w:val="NoSpacing"/>
        <w:numPr>
          <w:ilvl w:val="0"/>
          <w:numId w:val="7"/>
        </w:numPr>
        <w:rPr>
          <w:lang w:val="en-AU"/>
        </w:rPr>
      </w:pPr>
      <w:r w:rsidRPr="00894F6F">
        <w:rPr>
          <w:lang w:val="en-AU"/>
        </w:rPr>
        <w:t xml:space="preserve">Reduced work or study performance </w:t>
      </w:r>
    </w:p>
    <w:p w14:paraId="273EEDD6" w14:textId="77777777" w:rsidR="00661DE4" w:rsidRPr="00894F6F" w:rsidRDefault="00661DE4" w:rsidP="00661DE4">
      <w:pPr>
        <w:pStyle w:val="NoSpacing"/>
        <w:numPr>
          <w:ilvl w:val="0"/>
          <w:numId w:val="7"/>
        </w:numPr>
        <w:rPr>
          <w:lang w:val="en-AU"/>
        </w:rPr>
      </w:pPr>
      <w:r w:rsidRPr="00894F6F">
        <w:rPr>
          <w:lang w:val="en-AU"/>
        </w:rPr>
        <w:t>Criminal activity</w:t>
      </w:r>
    </w:p>
    <w:p w14:paraId="3436E0EB" w14:textId="77777777" w:rsidR="00661DE4" w:rsidRPr="00894F6F" w:rsidRDefault="00661DE4" w:rsidP="00661DE4">
      <w:pPr>
        <w:pStyle w:val="NoSpacing"/>
        <w:rPr>
          <w:lang w:val="en-AU"/>
        </w:rPr>
      </w:pPr>
    </w:p>
    <w:p w14:paraId="385F575C" w14:textId="77777777" w:rsidR="00661DE4" w:rsidRDefault="00661DE4" w:rsidP="00661DE4">
      <w:pPr>
        <w:pStyle w:val="NoSpacing"/>
        <w:rPr>
          <w:lang w:val="en-AU"/>
        </w:rPr>
      </w:pPr>
      <w:r>
        <w:rPr>
          <w:lang w:val="en-AU"/>
        </w:rPr>
        <w:t xml:space="preserve">The </w:t>
      </w:r>
      <w:r w:rsidRPr="00894F6F">
        <w:rPr>
          <w:lang w:val="en-AU"/>
        </w:rPr>
        <w:t>report also found that the severity of gambling related harm increases according to at-risk gambling s</w:t>
      </w:r>
      <w:r>
        <w:rPr>
          <w:lang w:val="en-AU"/>
        </w:rPr>
        <w:t>tatus.  Of</w:t>
      </w:r>
      <w:r w:rsidRPr="00894F6F">
        <w:rPr>
          <w:lang w:val="en-AU"/>
        </w:rPr>
        <w:t xml:space="preserve"> the total burden of gambling related harm in Victoria, the majority of harm was due to low and moderate risk gambling (85%) rather than problem gambling. This is due to the greater number of low and moderate risk gamblers in the Victorian population. So, while problem gamblers experience a greater severity of harm, the gambling behaviours of low and moderate risk gamblers has a larger impact on the Victorian population</w:t>
      </w:r>
      <w:r>
        <w:rPr>
          <w:lang w:val="en-AU"/>
        </w:rPr>
        <w:t>.</w:t>
      </w:r>
    </w:p>
    <w:p w14:paraId="3CA742E8" w14:textId="77777777" w:rsidR="00661DE4" w:rsidRDefault="00661DE4" w:rsidP="00661DE4">
      <w:pPr>
        <w:rPr>
          <w:i/>
        </w:rPr>
      </w:pPr>
    </w:p>
    <w:p w14:paraId="77BE99FE" w14:textId="77777777" w:rsidR="00661DE4" w:rsidRPr="002D0E6D" w:rsidRDefault="00661DE4" w:rsidP="00661DE4">
      <w:pPr>
        <w:rPr>
          <w:i/>
        </w:rPr>
      </w:pPr>
      <w:r w:rsidRPr="002D0E6D">
        <w:rPr>
          <w:i/>
        </w:rPr>
        <w:t>A public health approach</w:t>
      </w:r>
    </w:p>
    <w:p w14:paraId="66268BB3" w14:textId="77777777" w:rsidR="00661DE4" w:rsidRDefault="00661DE4" w:rsidP="00661DE4">
      <w:pPr>
        <w:pStyle w:val="Default"/>
        <w:rPr>
          <w:rFonts w:asciiTheme="minorHAnsi" w:hAnsiTheme="minorHAnsi"/>
          <w:sz w:val="22"/>
          <w:szCs w:val="22"/>
        </w:rPr>
      </w:pPr>
      <w:bookmarkStart w:id="6" w:name="_Hlk505181442"/>
      <w:r>
        <w:rPr>
          <w:rFonts w:asciiTheme="minorHAnsi" w:hAnsiTheme="minorHAnsi"/>
          <w:sz w:val="22"/>
          <w:szCs w:val="22"/>
        </w:rPr>
        <w:t>Since 2012 when Wyndham’s former gambling strategy was framed in terms of “responsible” gambling, there has been a</w:t>
      </w:r>
      <w:r w:rsidRPr="00D027FB">
        <w:rPr>
          <w:rFonts w:asciiTheme="minorHAnsi" w:hAnsiTheme="minorHAnsi"/>
          <w:sz w:val="22"/>
          <w:szCs w:val="22"/>
        </w:rPr>
        <w:t xml:space="preserve"> </w:t>
      </w:r>
      <w:r>
        <w:rPr>
          <w:rFonts w:asciiTheme="minorHAnsi" w:hAnsiTheme="minorHAnsi"/>
          <w:sz w:val="22"/>
          <w:szCs w:val="22"/>
        </w:rPr>
        <w:t xml:space="preserve">significant </w:t>
      </w:r>
      <w:r w:rsidRPr="00D027FB">
        <w:rPr>
          <w:rFonts w:asciiTheme="minorHAnsi" w:hAnsiTheme="minorHAnsi"/>
          <w:sz w:val="22"/>
          <w:szCs w:val="22"/>
        </w:rPr>
        <w:t xml:space="preserve">shift </w:t>
      </w:r>
      <w:r>
        <w:rPr>
          <w:rFonts w:asciiTheme="minorHAnsi" w:hAnsiTheme="minorHAnsi"/>
          <w:sz w:val="22"/>
          <w:szCs w:val="22"/>
        </w:rPr>
        <w:t>in conceptualising</w:t>
      </w:r>
      <w:r w:rsidRPr="00D027FB">
        <w:rPr>
          <w:rFonts w:asciiTheme="minorHAnsi" w:hAnsiTheme="minorHAnsi"/>
          <w:sz w:val="22"/>
          <w:szCs w:val="22"/>
        </w:rPr>
        <w:t xml:space="preserve"> harm caused </w:t>
      </w:r>
      <w:r>
        <w:rPr>
          <w:rFonts w:asciiTheme="minorHAnsi" w:hAnsiTheme="minorHAnsi"/>
          <w:sz w:val="22"/>
          <w:szCs w:val="22"/>
        </w:rPr>
        <w:t xml:space="preserve">by gambling.  It is now seen as </w:t>
      </w:r>
      <w:r w:rsidRPr="00D027FB">
        <w:rPr>
          <w:rFonts w:asciiTheme="minorHAnsi" w:hAnsiTheme="minorHAnsi"/>
          <w:sz w:val="22"/>
          <w:szCs w:val="22"/>
        </w:rPr>
        <w:t>a public health issue</w:t>
      </w:r>
      <w:r>
        <w:rPr>
          <w:rFonts w:asciiTheme="minorHAnsi" w:hAnsiTheme="minorHAnsi"/>
          <w:sz w:val="22"/>
          <w:szCs w:val="22"/>
        </w:rPr>
        <w:t>.  The</w:t>
      </w:r>
      <w:r w:rsidRPr="00D027FB">
        <w:rPr>
          <w:rFonts w:asciiTheme="minorHAnsi" w:hAnsiTheme="minorHAnsi"/>
          <w:sz w:val="22"/>
          <w:szCs w:val="22"/>
        </w:rPr>
        <w:t xml:space="preserve"> focus </w:t>
      </w:r>
      <w:r>
        <w:rPr>
          <w:rFonts w:asciiTheme="minorHAnsi" w:hAnsiTheme="minorHAnsi"/>
          <w:sz w:val="22"/>
          <w:szCs w:val="22"/>
        </w:rPr>
        <w:t xml:space="preserve">has moved </w:t>
      </w:r>
      <w:r w:rsidRPr="00D027FB">
        <w:rPr>
          <w:rFonts w:asciiTheme="minorHAnsi" w:hAnsiTheme="minorHAnsi"/>
          <w:sz w:val="22"/>
          <w:szCs w:val="22"/>
        </w:rPr>
        <w:t>away from the individual</w:t>
      </w:r>
      <w:r>
        <w:rPr>
          <w:rFonts w:asciiTheme="minorHAnsi" w:hAnsiTheme="minorHAnsi"/>
          <w:sz w:val="22"/>
          <w:szCs w:val="22"/>
        </w:rPr>
        <w:t xml:space="preserve"> and individual “responsibility”</w:t>
      </w:r>
      <w:r w:rsidRPr="00D027FB">
        <w:rPr>
          <w:rFonts w:asciiTheme="minorHAnsi" w:hAnsiTheme="minorHAnsi"/>
          <w:sz w:val="22"/>
          <w:szCs w:val="22"/>
        </w:rPr>
        <w:t xml:space="preserve"> to the gambling product. Now, rather than seeing EGMs as a legitimate recreational activity that has negative impacts on a few, the focus is on seeing an industry that misleads users and creates an unacceptable risk of harm to the whole community</w:t>
      </w:r>
      <w:r>
        <w:rPr>
          <w:rFonts w:asciiTheme="minorHAnsi" w:hAnsiTheme="minorHAnsi"/>
          <w:sz w:val="22"/>
          <w:szCs w:val="22"/>
        </w:rPr>
        <w:t xml:space="preserve">.  It shifts language and looks at a systemic approach to ameliorating harm. </w:t>
      </w:r>
    </w:p>
    <w:p w14:paraId="6FCA378D" w14:textId="77777777" w:rsidR="00661DE4" w:rsidRDefault="00661DE4" w:rsidP="00661DE4">
      <w:pPr>
        <w:pStyle w:val="Default"/>
        <w:rPr>
          <w:rFonts w:asciiTheme="minorHAnsi" w:hAnsiTheme="minorHAnsi"/>
          <w:sz w:val="22"/>
          <w:szCs w:val="22"/>
        </w:rPr>
      </w:pPr>
    </w:p>
    <w:p w14:paraId="3BC22125" w14:textId="77777777" w:rsidR="00661DE4" w:rsidRPr="005459CA" w:rsidRDefault="00661DE4" w:rsidP="00661DE4">
      <w:pPr>
        <w:pStyle w:val="Default"/>
        <w:rPr>
          <w:rFonts w:asciiTheme="minorHAnsi" w:hAnsiTheme="minorHAnsi"/>
          <w:sz w:val="22"/>
          <w:szCs w:val="22"/>
        </w:rPr>
      </w:pPr>
      <w:r>
        <w:rPr>
          <w:rFonts w:asciiTheme="minorHAnsi" w:hAnsiTheme="minorHAnsi"/>
          <w:sz w:val="22"/>
          <w:szCs w:val="22"/>
        </w:rPr>
        <w:t xml:space="preserve">This outlook is incorporated within </w:t>
      </w:r>
      <w:r w:rsidRPr="005459CA">
        <w:rPr>
          <w:rFonts w:asciiTheme="minorHAnsi" w:hAnsiTheme="minorHAnsi"/>
          <w:sz w:val="22"/>
          <w:szCs w:val="22"/>
        </w:rPr>
        <w:t>Wyndham’s City Plan</w:t>
      </w:r>
      <w:r>
        <w:rPr>
          <w:rFonts w:asciiTheme="minorHAnsi" w:hAnsiTheme="minorHAnsi"/>
          <w:sz w:val="22"/>
          <w:szCs w:val="22"/>
        </w:rPr>
        <w:t xml:space="preserve"> which </w:t>
      </w:r>
      <w:r w:rsidRPr="005459CA">
        <w:rPr>
          <w:rFonts w:asciiTheme="minorHAnsi" w:hAnsiTheme="minorHAnsi"/>
          <w:sz w:val="22"/>
          <w:szCs w:val="22"/>
        </w:rPr>
        <w:t xml:space="preserve">adopts a social model of health, recognising that many factors influence both the health and wellbeing of individuals and of the community as a whole. </w:t>
      </w:r>
      <w:bookmarkEnd w:id="6"/>
      <w:r w:rsidRPr="00FC7873">
        <w:rPr>
          <w:rFonts w:asciiTheme="minorHAnsi" w:hAnsiTheme="minorHAnsi"/>
          <w:sz w:val="22"/>
          <w:szCs w:val="22"/>
        </w:rPr>
        <w:t xml:space="preserve">Wyndham’s commitment to public health and wellbeing priorities includes the strategic objective: </w:t>
      </w:r>
    </w:p>
    <w:p w14:paraId="217E6B46" w14:textId="77777777" w:rsidR="00661DE4" w:rsidRPr="00FC7873" w:rsidRDefault="00661DE4" w:rsidP="00661DE4">
      <w:pPr>
        <w:pStyle w:val="Default"/>
        <w:ind w:left="720"/>
        <w:rPr>
          <w:rFonts w:asciiTheme="minorHAnsi" w:hAnsiTheme="minorHAnsi"/>
          <w:sz w:val="22"/>
          <w:szCs w:val="22"/>
        </w:rPr>
      </w:pPr>
      <w:r w:rsidRPr="00023E7C">
        <w:rPr>
          <w:rFonts w:asciiTheme="minorHAnsi" w:hAnsiTheme="minorHAnsi"/>
          <w:i/>
          <w:sz w:val="22"/>
          <w:szCs w:val="22"/>
        </w:rPr>
        <w:lastRenderedPageBreak/>
        <w:t>Council will work with the community to ensure Wyndham is an inclusive, safe and welcoming city, which celebrates our diverse heritage and cultures and helps residents to stay healthy, active and connected</w:t>
      </w:r>
      <w:r w:rsidRPr="00FC7873">
        <w:rPr>
          <w:rFonts w:asciiTheme="minorHAnsi" w:hAnsiTheme="minorHAnsi"/>
          <w:sz w:val="22"/>
          <w:szCs w:val="22"/>
        </w:rPr>
        <w:t xml:space="preserve">. </w:t>
      </w:r>
    </w:p>
    <w:p w14:paraId="09E62650" w14:textId="77777777" w:rsidR="00661DE4" w:rsidRPr="005459CA" w:rsidRDefault="00661DE4" w:rsidP="00661DE4">
      <w:pPr>
        <w:pStyle w:val="Default"/>
        <w:rPr>
          <w:rFonts w:asciiTheme="minorHAnsi" w:hAnsiTheme="minorHAnsi" w:cstheme="minorHAnsi"/>
          <w:sz w:val="22"/>
          <w:szCs w:val="22"/>
        </w:rPr>
      </w:pPr>
    </w:p>
    <w:p w14:paraId="5D588248" w14:textId="77777777" w:rsidR="00661DE4" w:rsidRPr="00023E7C" w:rsidRDefault="00661DE4" w:rsidP="00661DE4">
      <w:pPr>
        <w:pStyle w:val="Default"/>
        <w:rPr>
          <w:rFonts w:asciiTheme="minorHAnsi" w:hAnsiTheme="minorHAnsi"/>
          <w:i/>
          <w:sz w:val="22"/>
          <w:szCs w:val="22"/>
        </w:rPr>
      </w:pPr>
      <w:bookmarkStart w:id="7" w:name="_Hlk505181475"/>
      <w:r w:rsidRPr="00FC7873">
        <w:rPr>
          <w:rFonts w:asciiTheme="minorHAnsi" w:hAnsiTheme="minorHAnsi"/>
          <w:sz w:val="22"/>
          <w:szCs w:val="22"/>
        </w:rPr>
        <w:t xml:space="preserve">The City Plan Strategy 1.2 states </w:t>
      </w:r>
      <w:r w:rsidRPr="005027A2">
        <w:rPr>
          <w:rFonts w:asciiTheme="minorHAnsi" w:hAnsiTheme="minorHAnsi"/>
          <w:sz w:val="22"/>
          <w:szCs w:val="22"/>
        </w:rPr>
        <w:t>that</w:t>
      </w:r>
      <w:r w:rsidRPr="00023E7C">
        <w:rPr>
          <w:rFonts w:asciiTheme="minorHAnsi" w:hAnsiTheme="minorHAnsi"/>
          <w:i/>
          <w:sz w:val="22"/>
          <w:szCs w:val="22"/>
        </w:rPr>
        <w:t xml:space="preserve"> </w:t>
      </w:r>
      <w:r>
        <w:rPr>
          <w:rFonts w:asciiTheme="minorHAnsi" w:hAnsiTheme="minorHAnsi"/>
          <w:i/>
          <w:sz w:val="22"/>
          <w:szCs w:val="22"/>
        </w:rPr>
        <w:t>“</w:t>
      </w:r>
      <w:r w:rsidRPr="00023E7C">
        <w:rPr>
          <w:rFonts w:asciiTheme="minorHAnsi" w:hAnsiTheme="minorHAnsi"/>
          <w:i/>
          <w:sz w:val="22"/>
          <w:szCs w:val="22"/>
        </w:rPr>
        <w:t>Council will endeavour to increase health and wellbeing outcomes of our community by engaging with the State and Federal Governments on gambling reform and reducing harmful alcohol and drug use, particularly among young people and other at risk community cohorts.</w:t>
      </w:r>
      <w:r>
        <w:rPr>
          <w:rFonts w:asciiTheme="minorHAnsi" w:hAnsiTheme="minorHAnsi"/>
          <w:i/>
          <w:sz w:val="22"/>
          <w:szCs w:val="22"/>
        </w:rPr>
        <w:t>”</w:t>
      </w:r>
    </w:p>
    <w:bookmarkEnd w:id="7"/>
    <w:p w14:paraId="278AFF57" w14:textId="77777777" w:rsidR="00661DE4" w:rsidRDefault="00661DE4" w:rsidP="00661DE4">
      <w:pPr>
        <w:rPr>
          <w:i/>
        </w:rPr>
      </w:pPr>
    </w:p>
    <w:p w14:paraId="1A7277C3" w14:textId="77777777" w:rsidR="00661DE4" w:rsidRPr="002D0E6D" w:rsidRDefault="00661DE4" w:rsidP="00661DE4">
      <w:pPr>
        <w:rPr>
          <w:i/>
        </w:rPr>
      </w:pPr>
      <w:r w:rsidRPr="002D0E6D">
        <w:rPr>
          <w:i/>
        </w:rPr>
        <w:t xml:space="preserve">The </w:t>
      </w:r>
      <w:r>
        <w:rPr>
          <w:i/>
        </w:rPr>
        <w:t>g</w:t>
      </w:r>
      <w:r w:rsidRPr="002D0E6D">
        <w:rPr>
          <w:i/>
        </w:rPr>
        <w:t xml:space="preserve">reatest </w:t>
      </w:r>
      <w:r>
        <w:rPr>
          <w:i/>
        </w:rPr>
        <w:t>s</w:t>
      </w:r>
      <w:r w:rsidRPr="002D0E6D">
        <w:rPr>
          <w:i/>
        </w:rPr>
        <w:t xml:space="preserve">ource of gambling harm - </w:t>
      </w:r>
      <w:r>
        <w:rPr>
          <w:i/>
        </w:rPr>
        <w:t>EGMs in</w:t>
      </w:r>
      <w:r w:rsidRPr="002D0E6D">
        <w:rPr>
          <w:i/>
        </w:rPr>
        <w:t xml:space="preserve"> Wyndham </w:t>
      </w:r>
    </w:p>
    <w:p w14:paraId="34692E6F" w14:textId="77777777" w:rsidR="00661DE4" w:rsidRDefault="00661DE4" w:rsidP="00661DE4">
      <w:r w:rsidRPr="00D027FB">
        <w:t>EGM gambling remains the primary source of harm from gambling with referrals to Gamblers Help Services indicating that 75-80% of clients use EGMs as their primary means of gambling.  This is</w:t>
      </w:r>
      <w:r>
        <w:t xml:space="preserve"> evidenced in the following snapshot statistics where Wyndham</w:t>
      </w:r>
    </w:p>
    <w:p w14:paraId="422733D0" w14:textId="77777777" w:rsidR="00661DE4" w:rsidRDefault="00661DE4" w:rsidP="00661DE4">
      <w:r>
        <w:t>•</w:t>
      </w:r>
      <w:r>
        <w:tab/>
        <w:t>is ranked 8 of 70 LGAs for EGM losses in Victoria</w:t>
      </w:r>
    </w:p>
    <w:p w14:paraId="74FB8415" w14:textId="77777777" w:rsidR="00661DE4" w:rsidRDefault="00661DE4" w:rsidP="00661DE4">
      <w:pPr>
        <w:ind w:left="720" w:hanging="720"/>
      </w:pPr>
      <w:r>
        <w:t>•</w:t>
      </w:r>
      <w:r>
        <w:tab/>
        <w:t>has an average loss of $599 per adult This is above the Victorian and Melbourne Metro average of $562 per adult</w:t>
      </w:r>
    </w:p>
    <w:p w14:paraId="70070B71" w14:textId="77777777" w:rsidR="00661DE4" w:rsidRDefault="00661DE4" w:rsidP="00661DE4">
      <w:r>
        <w:t>•</w:t>
      </w:r>
      <w:r>
        <w:tab/>
        <w:t>has total losses for 2016-2017 of $97.8 million</w:t>
      </w:r>
    </w:p>
    <w:p w14:paraId="594EEAF4" w14:textId="77777777" w:rsidR="00661DE4" w:rsidRPr="0026333C" w:rsidRDefault="00661DE4" w:rsidP="00661DE4">
      <w:pPr>
        <w:ind w:left="720" w:hanging="720"/>
      </w:pPr>
      <w:r>
        <w:t>•</w:t>
      </w:r>
      <w:r>
        <w:tab/>
        <w:t>VCGLR figures also show that gambling losses by Wyndham adults are increasing at a far faster rate than Victoria (3.1% to 0.4%, adjusted for inflation)</w:t>
      </w:r>
    </w:p>
    <w:p w14:paraId="43988B0D" w14:textId="77777777" w:rsidR="00661DE4" w:rsidRDefault="00661DE4" w:rsidP="00661DE4">
      <w:r>
        <w:t>Currently in Wyndham there are 893 EGMs across 13 venues, equating to 5.5 machines per 1,000 adults. This is higher than the Victorian and Melbourne metropolitan average of 5.2 machines per 1,000 adults.</w:t>
      </w:r>
    </w:p>
    <w:p w14:paraId="4E1B4797" w14:textId="77777777" w:rsidR="00661DE4" w:rsidRDefault="00661DE4" w:rsidP="00661DE4">
      <w:r w:rsidRPr="00A01DDE">
        <w:t>In September 2017, the Victorian State Government gazetted new regional and municipal caps for Victorian Municipalities. This includes the introduction of a regional cap for Wyndham. Th</w:t>
      </w:r>
      <w:r>
        <w:t xml:space="preserve">is will cap </w:t>
      </w:r>
      <w:r w:rsidRPr="00A01DDE">
        <w:t>the number of EGMs allowed in Hoppers Crossing, Laverton North, Manor Lakes, Werribee, Williams Landing and Wyndham Vale to 834. The remaining areas of Point Cook, Tarneit, Little River and Truganina will be covered by municipal caps of 552 entitlements. The reforms allow for an increase of up to 15 per cent in those suburbs not covered by the cap.  The proposed changes could see the number of EGMs increase from a current maximum number of 1190 to 1368</w:t>
      </w:r>
      <w:r>
        <w:t xml:space="preserve"> in those suburbs</w:t>
      </w:r>
      <w:r w:rsidRPr="00A01DDE">
        <w:t xml:space="preserve"> </w:t>
      </w:r>
      <w:r>
        <w:t>with</w:t>
      </w:r>
      <w:r w:rsidRPr="00A01DDE">
        <w:t xml:space="preserve"> the </w:t>
      </w:r>
      <w:r>
        <w:t>associated risk of increased</w:t>
      </w:r>
      <w:r w:rsidRPr="00A01DDE">
        <w:t xml:space="preserve"> gambling harm in those areas. It is time for a strengthened policy position to support Council’s advocacy that the entire Wyndham municipality be capped at the current number of EGMs.</w:t>
      </w:r>
    </w:p>
    <w:p w14:paraId="07964BD8" w14:textId="77777777" w:rsidR="00661DE4" w:rsidRPr="002D0E6D" w:rsidRDefault="00661DE4" w:rsidP="00661DE4">
      <w:pPr>
        <w:rPr>
          <w:i/>
        </w:rPr>
      </w:pPr>
      <w:r w:rsidRPr="002D0E6D">
        <w:rPr>
          <w:i/>
        </w:rPr>
        <w:t>The role of Local Government</w:t>
      </w:r>
    </w:p>
    <w:p w14:paraId="2BE844BC" w14:textId="77777777" w:rsidR="00661DE4" w:rsidRDefault="00661DE4" w:rsidP="00661DE4">
      <w:r>
        <w:t xml:space="preserve">Under the Local Government Act 1989, councils are responsible for monitoring the long term and cumulative effects of planning decisions to ensure the best outcomes are achieved for their communities.  As the closest level of government to the community, local government is in a good position to understand the effects of gambling and to limit the negative impacts of gambling on their communities. </w:t>
      </w:r>
    </w:p>
    <w:p w14:paraId="08A19AAB" w14:textId="77777777" w:rsidR="00661DE4" w:rsidRPr="005459CA" w:rsidRDefault="00661DE4" w:rsidP="00661DE4">
      <w:r w:rsidRPr="005459CA">
        <w:lastRenderedPageBreak/>
        <w:t>Local government has an important role in managing the impacts of gambling in local communities, particularly gambling on EGMs. The Planning and Environment Act 1987 and the Wyndham Planning Scheme give Council the authority to assess applications for planning permits for gaming venues and EGMs within the municipality. The Gambling Regulation Act 2003 enables local government to make submissions to the Victorian Commission for Gambling and Liquor (VCGLR) in the form of a social and economic impact assessment (SEIA) for potential new applications for EGMs within its municipality or a neighbouring municipality.</w:t>
      </w:r>
    </w:p>
    <w:bookmarkEnd w:id="5"/>
    <w:p w14:paraId="3AB758B4" w14:textId="77777777" w:rsidR="00661DE4" w:rsidRPr="005459CA" w:rsidRDefault="00661DE4" w:rsidP="00661DE4">
      <w:r w:rsidRPr="005459CA">
        <w:t xml:space="preserve">In 2014, the Electronic Gaming Policy was adopted and incorporated into the Wyndham Planning Scheme Clause 22.03.  The objective of this policy is to guide decision making in the location, design and operation of EGMs and gaming venues and identify locations where EGM venues are prohibited.  </w:t>
      </w:r>
      <w:r>
        <w:t xml:space="preserve">Although a review of this policy was not within scope of the development of Wyndham’s Harm Minimisation Policy and Action Plan there are intrinsic links between Council’s regulatory and social roles policy responses.  A proposed action is to review Clause 22.03 in light of the outcomes of the Policy and Action Plan process.  </w:t>
      </w:r>
    </w:p>
    <w:p w14:paraId="26D2CF47" w14:textId="77777777" w:rsidR="00661DE4" w:rsidRDefault="00661DE4" w:rsidP="00661DE4">
      <w:r>
        <w:t>Another theme has been the realisation that active community participation in planning decisions for gaming is of fundamental importance and that Councils can play a key role in enabling this.</w:t>
      </w:r>
    </w:p>
    <w:p w14:paraId="0066A120" w14:textId="77777777" w:rsidR="00661DE4" w:rsidRPr="002D0E6D" w:rsidRDefault="00661DE4" w:rsidP="00661DE4">
      <w:pPr>
        <w:rPr>
          <w:i/>
        </w:rPr>
      </w:pPr>
      <w:r w:rsidRPr="002D0E6D">
        <w:rPr>
          <w:i/>
        </w:rPr>
        <w:t>Growth of online gambling and sports betting</w:t>
      </w:r>
    </w:p>
    <w:p w14:paraId="7C40034A" w14:textId="77777777" w:rsidR="00661DE4" w:rsidRPr="00894F6F" w:rsidRDefault="00661DE4" w:rsidP="00661DE4">
      <w:r>
        <w:t xml:space="preserve">Since 2012, there has been rapidly </w:t>
      </w:r>
      <w:r w:rsidRPr="00894F6F">
        <w:t>growing participation in online gambling</w:t>
      </w:r>
      <w:r>
        <w:t xml:space="preserve"> and sports betting. </w:t>
      </w:r>
      <w:r w:rsidRPr="00894F6F">
        <w:t xml:space="preserve"> </w:t>
      </w:r>
      <w:r>
        <w:t xml:space="preserve">The potential impacts on young people are particularly concerning and there is limited research and data gathering to better understand this.  This area </w:t>
      </w:r>
      <w:r w:rsidRPr="00894F6F">
        <w:t>falls outside the direct influence of l</w:t>
      </w:r>
      <w:r>
        <w:t xml:space="preserve">ocal government legislation as it </w:t>
      </w:r>
      <w:r w:rsidRPr="00894F6F">
        <w:t>is</w:t>
      </w:r>
      <w:r>
        <w:t xml:space="preserve"> in</w:t>
      </w:r>
      <w:r w:rsidRPr="00894F6F">
        <w:t xml:space="preserve"> the domain of Federal and State governments.  </w:t>
      </w:r>
      <w:r>
        <w:t>There is an advocacy role for Council to encourage the other levels of government to research and address harms in this area, particularly given the growing population of young people in Wyndham.</w:t>
      </w:r>
    </w:p>
    <w:p w14:paraId="3ECB36B4" w14:textId="77777777" w:rsidR="00661DE4" w:rsidRPr="007D2466" w:rsidRDefault="00661DE4" w:rsidP="00661DE4">
      <w:pPr>
        <w:rPr>
          <w:i/>
        </w:rPr>
      </w:pPr>
      <w:r w:rsidRPr="002D0E6D">
        <w:rPr>
          <w:i/>
        </w:rPr>
        <w:t>The power of collaboration and partnership</w:t>
      </w:r>
      <w:r w:rsidRPr="008B1760">
        <w:t>.</w:t>
      </w:r>
    </w:p>
    <w:p w14:paraId="14FE732E" w14:textId="77777777" w:rsidR="00661DE4" w:rsidRPr="00894F6F" w:rsidRDefault="00661DE4" w:rsidP="00661DE4">
      <w:r>
        <w:rPr>
          <w:b/>
          <w:color w:val="215868" w:themeColor="accent5" w:themeShade="80"/>
        </w:rPr>
        <w:t xml:space="preserve">In </w:t>
      </w:r>
      <w:r>
        <w:t>2</w:t>
      </w:r>
      <w:r w:rsidRPr="00894F6F">
        <w:t>017</w:t>
      </w:r>
      <w:r>
        <w:t xml:space="preserve">, </w:t>
      </w:r>
      <w:r w:rsidRPr="00894F6F">
        <w:t>Wyndham City became a member of the Alliance for Gambling Reform, showi</w:t>
      </w:r>
      <w:r>
        <w:t>ng further commitment in the</w:t>
      </w:r>
      <w:r w:rsidRPr="00894F6F">
        <w:t xml:space="preserve"> role </w:t>
      </w:r>
      <w:r>
        <w:t xml:space="preserve">of </w:t>
      </w:r>
      <w:r w:rsidRPr="00894F6F">
        <w:t xml:space="preserve">minimising the </w:t>
      </w:r>
      <w:r>
        <w:t>harm</w:t>
      </w:r>
      <w:r w:rsidRPr="00894F6F">
        <w:t xml:space="preserve"> associated with gambling. The Alliance for Gambling Reform is a national collaboration of organisations and </w:t>
      </w:r>
      <w:r w:rsidRPr="00894F6F">
        <w:rPr>
          <w:rFonts w:cstheme="minorHAnsi"/>
        </w:rPr>
        <w:t xml:space="preserve">campaigns calling for reforms of the gambling industry </w:t>
      </w:r>
      <w:r>
        <w:rPr>
          <w:rFonts w:cstheme="minorHAnsi"/>
        </w:rPr>
        <w:t xml:space="preserve">to </w:t>
      </w:r>
      <w:r w:rsidRPr="00894F6F">
        <w:rPr>
          <w:rFonts w:cstheme="minorHAnsi"/>
        </w:rPr>
        <w:t>redu</w:t>
      </w:r>
      <w:r>
        <w:rPr>
          <w:rFonts w:cstheme="minorHAnsi"/>
        </w:rPr>
        <w:t>ce the harm it causes, and seeking</w:t>
      </w:r>
      <w:r w:rsidRPr="00894F6F">
        <w:rPr>
          <w:rFonts w:cstheme="minorHAnsi"/>
        </w:rPr>
        <w:t xml:space="preserve"> to protect disadvantaged communities from the increasing numbers of poker machines.</w:t>
      </w:r>
      <w:r w:rsidRPr="00894F6F">
        <w:t xml:space="preserve"> </w:t>
      </w:r>
    </w:p>
    <w:p w14:paraId="009572BF" w14:textId="77777777" w:rsidR="00661DE4" w:rsidRDefault="00661DE4" w:rsidP="00661DE4">
      <w:pPr>
        <w:rPr>
          <w:color w:val="222629"/>
        </w:rPr>
      </w:pPr>
      <w:r w:rsidRPr="00894F6F">
        <w:rPr>
          <w:color w:val="222629"/>
        </w:rPr>
        <w:t>The Alliance also re</w:t>
      </w:r>
      <w:r>
        <w:rPr>
          <w:color w:val="222629"/>
        </w:rPr>
        <w:t xml:space="preserve">cognises that gambling harm </w:t>
      </w:r>
      <w:r w:rsidRPr="00894F6F">
        <w:rPr>
          <w:color w:val="222629"/>
        </w:rPr>
        <w:t>is a public health issue and has a shared concern about the harmful and inequitable impacts of gambling, especially EGMs, and campaigns for reforms of the gambling industry to reduce the harm it causes.</w:t>
      </w:r>
      <w:r>
        <w:rPr>
          <w:color w:val="222629"/>
        </w:rPr>
        <w:t xml:space="preserve">  </w:t>
      </w:r>
    </w:p>
    <w:p w14:paraId="005FC45C" w14:textId="77777777" w:rsidR="00661DE4" w:rsidRDefault="00661DE4" w:rsidP="00661DE4">
      <w:pPr>
        <w:rPr>
          <w:color w:val="222629"/>
        </w:rPr>
      </w:pPr>
      <w:r>
        <w:rPr>
          <w:color w:val="222629"/>
        </w:rPr>
        <w:t xml:space="preserve">Wyndham is proud to be working with the Alliance.  It sees this as an example of Council’s demonstrated commitment to seek out partnership and collaborative opportunities to make a difference in minimising gambling harm. </w:t>
      </w:r>
    </w:p>
    <w:p w14:paraId="74FCAF06" w14:textId="77777777" w:rsidR="00661DE4" w:rsidRPr="00B32A1C" w:rsidRDefault="00661DE4" w:rsidP="00661DE4">
      <w:pPr>
        <w:rPr>
          <w:color w:val="222629"/>
        </w:rPr>
      </w:pPr>
    </w:p>
    <w:p w14:paraId="1CD367F6" w14:textId="77777777" w:rsidR="00661DE4" w:rsidRDefault="00661DE4" w:rsidP="00661DE4">
      <w:pPr>
        <w:rPr>
          <w:b/>
          <w:color w:val="31849B" w:themeColor="accent5" w:themeShade="BF"/>
          <w:sz w:val="32"/>
          <w:szCs w:val="32"/>
        </w:rPr>
      </w:pPr>
    </w:p>
    <w:p w14:paraId="75481038" w14:textId="77777777" w:rsidR="00661DE4" w:rsidRPr="00EF66B8" w:rsidRDefault="00661DE4" w:rsidP="00EF66B8">
      <w:pPr>
        <w:pStyle w:val="Heading1"/>
        <w:rPr>
          <w:b/>
          <w:color w:val="7030A0"/>
        </w:rPr>
      </w:pPr>
      <w:r w:rsidRPr="00EF66B8">
        <w:rPr>
          <w:b/>
          <w:color w:val="7030A0"/>
        </w:rPr>
        <w:lastRenderedPageBreak/>
        <w:t>The Policy Development Process</w:t>
      </w:r>
    </w:p>
    <w:p w14:paraId="68A33BF6" w14:textId="77777777" w:rsidR="00661DE4" w:rsidRDefault="00661DE4" w:rsidP="00661DE4">
      <w:r w:rsidRPr="00B32A1C">
        <w:t xml:space="preserve">Council committed to developing a Gambling Harm Minimisation Policy </w:t>
      </w:r>
      <w:r>
        <w:t>in May</w:t>
      </w:r>
      <w:r w:rsidRPr="00B32A1C">
        <w:t xml:space="preserve"> 2017.  A Reference Group Chaired by Councillor Gilligan was established with key service providers and technica</w:t>
      </w:r>
      <w:r>
        <w:t>l experts</w:t>
      </w:r>
      <w:r w:rsidRPr="00B32A1C">
        <w:t>.</w:t>
      </w:r>
      <w:r>
        <w:t xml:space="preserve">  The Reference Group has provided strategic advice on the:</w:t>
      </w:r>
    </w:p>
    <w:p w14:paraId="594043E0" w14:textId="77777777" w:rsidR="00661DE4" w:rsidRPr="00221249" w:rsidRDefault="00661DE4" w:rsidP="00661DE4">
      <w:pPr>
        <w:pStyle w:val="BodyText3"/>
        <w:numPr>
          <w:ilvl w:val="0"/>
          <w:numId w:val="22"/>
        </w:numPr>
        <w:rPr>
          <w:rFonts w:asciiTheme="majorHAnsi" w:hAnsiTheme="majorHAnsi" w:cs="Arial"/>
          <w:szCs w:val="22"/>
        </w:rPr>
      </w:pPr>
      <w:r w:rsidRPr="00221249">
        <w:rPr>
          <w:rFonts w:asciiTheme="majorHAnsi" w:hAnsiTheme="majorHAnsi" w:cs="Arial"/>
          <w:szCs w:val="22"/>
        </w:rPr>
        <w:t>Current impacts of problem gambling on the Wyndham community</w:t>
      </w:r>
    </w:p>
    <w:p w14:paraId="1178DDB7" w14:textId="77777777" w:rsidR="00661DE4" w:rsidRPr="00221249" w:rsidRDefault="00661DE4" w:rsidP="00661DE4">
      <w:pPr>
        <w:pStyle w:val="BodyText3"/>
        <w:numPr>
          <w:ilvl w:val="0"/>
          <w:numId w:val="22"/>
        </w:numPr>
        <w:rPr>
          <w:rFonts w:asciiTheme="majorHAnsi" w:hAnsiTheme="majorHAnsi" w:cs="Arial"/>
          <w:szCs w:val="22"/>
        </w:rPr>
      </w:pPr>
      <w:r w:rsidRPr="00221249">
        <w:rPr>
          <w:rFonts w:asciiTheme="majorHAnsi" w:hAnsiTheme="majorHAnsi" w:cs="Arial"/>
          <w:szCs w:val="22"/>
        </w:rPr>
        <w:t>Evidence based goals and strategies to help reduce the harms caused by problem gambling.</w:t>
      </w:r>
    </w:p>
    <w:p w14:paraId="64DE7A30" w14:textId="77777777" w:rsidR="00661DE4" w:rsidRPr="00221249" w:rsidRDefault="00661DE4" w:rsidP="00661DE4">
      <w:pPr>
        <w:pStyle w:val="BodyText3"/>
        <w:numPr>
          <w:ilvl w:val="0"/>
          <w:numId w:val="22"/>
        </w:numPr>
        <w:rPr>
          <w:rFonts w:asciiTheme="majorHAnsi" w:hAnsiTheme="majorHAnsi" w:cs="Arial"/>
          <w:szCs w:val="22"/>
        </w:rPr>
      </w:pPr>
      <w:r w:rsidRPr="00221249">
        <w:rPr>
          <w:rFonts w:asciiTheme="majorHAnsi" w:hAnsiTheme="majorHAnsi" w:cs="Arial"/>
          <w:szCs w:val="22"/>
        </w:rPr>
        <w:t xml:space="preserve">How to involve the local community in the development, and implementation of </w:t>
      </w:r>
      <w:r>
        <w:rPr>
          <w:rFonts w:asciiTheme="majorHAnsi" w:hAnsiTheme="majorHAnsi" w:cs="Arial"/>
          <w:szCs w:val="22"/>
        </w:rPr>
        <w:t>the Policy and Action Plan</w:t>
      </w:r>
    </w:p>
    <w:p w14:paraId="460272EE" w14:textId="77777777" w:rsidR="00661DE4" w:rsidRDefault="00661DE4" w:rsidP="00661DE4">
      <w:pPr>
        <w:pStyle w:val="BodyText3"/>
        <w:numPr>
          <w:ilvl w:val="0"/>
          <w:numId w:val="22"/>
        </w:numPr>
        <w:rPr>
          <w:rFonts w:asciiTheme="minorHAnsi" w:hAnsiTheme="minorHAnsi" w:cs="Arial"/>
          <w:szCs w:val="22"/>
        </w:rPr>
      </w:pPr>
      <w:r w:rsidRPr="00221249">
        <w:rPr>
          <w:rFonts w:asciiTheme="majorHAnsi" w:hAnsiTheme="majorHAnsi" w:cs="Arial"/>
          <w:szCs w:val="22"/>
        </w:rPr>
        <w:t xml:space="preserve">Specifying how Council can work in partnership with key agencies in undertaking public health initiatives, projects and programs to achieve the goals identified in the </w:t>
      </w:r>
      <w:r>
        <w:rPr>
          <w:rFonts w:asciiTheme="majorHAnsi" w:hAnsiTheme="majorHAnsi" w:cs="Arial"/>
          <w:szCs w:val="22"/>
        </w:rPr>
        <w:t>Policy and Action Plan</w:t>
      </w:r>
      <w:r w:rsidRPr="00BF7A5D">
        <w:rPr>
          <w:rFonts w:asciiTheme="minorHAnsi" w:hAnsiTheme="minorHAnsi" w:cs="Arial"/>
          <w:szCs w:val="22"/>
        </w:rPr>
        <w:t>.</w:t>
      </w:r>
    </w:p>
    <w:p w14:paraId="66FFF916" w14:textId="77777777" w:rsidR="00661DE4" w:rsidRDefault="00661DE4" w:rsidP="00661DE4">
      <w:pPr>
        <w:pStyle w:val="BodyText3"/>
        <w:rPr>
          <w:rFonts w:asciiTheme="minorHAnsi" w:hAnsiTheme="minorHAnsi" w:cs="Arial"/>
          <w:szCs w:val="22"/>
        </w:rPr>
      </w:pPr>
    </w:p>
    <w:p w14:paraId="0503BF07" w14:textId="77777777" w:rsidR="00661DE4" w:rsidRPr="00BF7A5D" w:rsidRDefault="00661DE4" w:rsidP="00661DE4">
      <w:pPr>
        <w:pStyle w:val="BodyText3"/>
        <w:rPr>
          <w:rFonts w:asciiTheme="minorHAnsi" w:hAnsiTheme="minorHAnsi" w:cs="Arial"/>
          <w:szCs w:val="22"/>
        </w:rPr>
      </w:pPr>
      <w:r>
        <w:rPr>
          <w:rFonts w:asciiTheme="minorHAnsi" w:hAnsiTheme="minorHAnsi" w:cs="Arial"/>
          <w:szCs w:val="22"/>
        </w:rPr>
        <w:t>A key milestone in the project was the development of a background paper that provided:</w:t>
      </w:r>
    </w:p>
    <w:p w14:paraId="7BC41095" w14:textId="77777777" w:rsidR="00661DE4" w:rsidRPr="00BF7A5D" w:rsidRDefault="00661DE4" w:rsidP="00661DE4">
      <w:pPr>
        <w:pStyle w:val="BodyText3"/>
        <w:ind w:left="360"/>
        <w:rPr>
          <w:rFonts w:asciiTheme="minorHAnsi" w:hAnsiTheme="minorHAnsi" w:cs="Arial"/>
          <w:szCs w:val="22"/>
        </w:rPr>
      </w:pPr>
    </w:p>
    <w:p w14:paraId="2BBD284E" w14:textId="77777777" w:rsidR="00661DE4" w:rsidRDefault="00661DE4" w:rsidP="00661DE4">
      <w:pPr>
        <w:pStyle w:val="ListParagraph"/>
        <w:numPr>
          <w:ilvl w:val="0"/>
          <w:numId w:val="21"/>
        </w:numPr>
        <w:spacing w:after="200" w:line="276" w:lineRule="auto"/>
        <w:ind w:left="1080"/>
      </w:pPr>
      <w:r>
        <w:t>A summary of key policies, directions and legislation relevant to EGMs</w:t>
      </w:r>
    </w:p>
    <w:p w14:paraId="12BFFBB3" w14:textId="77777777" w:rsidR="00661DE4" w:rsidRDefault="00661DE4" w:rsidP="00661DE4">
      <w:pPr>
        <w:pStyle w:val="ListParagraph"/>
        <w:numPr>
          <w:ilvl w:val="0"/>
          <w:numId w:val="21"/>
        </w:numPr>
        <w:spacing w:after="200" w:line="276" w:lineRule="auto"/>
        <w:ind w:left="1080"/>
      </w:pPr>
      <w:r>
        <w:t>Knowledge of current research on gambling harm</w:t>
      </w:r>
    </w:p>
    <w:p w14:paraId="6A27C0D1" w14:textId="77777777" w:rsidR="00661DE4" w:rsidRDefault="00661DE4" w:rsidP="00661DE4">
      <w:pPr>
        <w:pStyle w:val="ListParagraph"/>
        <w:numPr>
          <w:ilvl w:val="0"/>
          <w:numId w:val="21"/>
        </w:numPr>
        <w:spacing w:after="200" w:line="276" w:lineRule="auto"/>
        <w:ind w:left="1080"/>
      </w:pPr>
      <w:r>
        <w:t>An outline of relevant trends and issues concerning the management of EGMs by local government in Victoria</w:t>
      </w:r>
    </w:p>
    <w:p w14:paraId="121CF403" w14:textId="77777777" w:rsidR="00661DE4" w:rsidRDefault="00661DE4" w:rsidP="00661DE4">
      <w:pPr>
        <w:pStyle w:val="ListParagraph"/>
        <w:numPr>
          <w:ilvl w:val="0"/>
          <w:numId w:val="21"/>
        </w:numPr>
        <w:spacing w:after="200" w:line="276" w:lineRule="auto"/>
        <w:ind w:left="1080"/>
      </w:pPr>
      <w:r>
        <w:t xml:space="preserve">An overview of relevant data </w:t>
      </w:r>
    </w:p>
    <w:p w14:paraId="7BC9C1A5" w14:textId="77777777" w:rsidR="00661DE4" w:rsidRDefault="00661DE4" w:rsidP="00661DE4">
      <w:r>
        <w:t xml:space="preserve">Gauging community attitudes in Wyndham was also seen as integral to project development.  </w:t>
      </w:r>
      <w:r w:rsidRPr="00B32A1C">
        <w:t xml:space="preserve">  The Pokies and Online Gambling in Wyndham survey </w:t>
      </w:r>
      <w:r>
        <w:t xml:space="preserve">was implemented through September/October 2017 to </w:t>
      </w:r>
      <w:r w:rsidRPr="00B32A1C">
        <w:t>learn more about the attitudes towards pokies and online gambling and the level of harm they may be causing</w:t>
      </w:r>
      <w:r>
        <w:t xml:space="preserve">.  It was made </w:t>
      </w:r>
      <w:r w:rsidRPr="00B32A1C">
        <w:t>available in Engl</w:t>
      </w:r>
      <w:r>
        <w:t>ish, Mandarin and Karen</w:t>
      </w:r>
      <w:r w:rsidRPr="00B32A1C">
        <w:t>.</w:t>
      </w:r>
      <w:r>
        <w:t xml:space="preserve">   A summary of findings is included within Part 2 of this document.</w:t>
      </w:r>
    </w:p>
    <w:p w14:paraId="0616DDBE" w14:textId="77777777" w:rsidR="00661DE4" w:rsidRPr="00B32A1C" w:rsidRDefault="00661DE4" w:rsidP="00661DE4">
      <w:r>
        <w:t>Consultation has also taken place with key stakeholders and experts both internal and external to Council to ensure an informed and contemporary view.</w:t>
      </w:r>
    </w:p>
    <w:p w14:paraId="36456CCF" w14:textId="77777777" w:rsidR="00661DE4" w:rsidRPr="00C422DB" w:rsidRDefault="00661DE4" w:rsidP="00661DE4"/>
    <w:p w14:paraId="206C102D" w14:textId="77777777" w:rsidR="00661DE4" w:rsidRDefault="00661DE4" w:rsidP="00661DE4">
      <w:pPr>
        <w:keepNext/>
        <w:spacing w:line="240" w:lineRule="auto"/>
      </w:pPr>
      <w:r>
        <w:br/>
      </w:r>
      <w:r>
        <w:br w:type="page"/>
      </w:r>
    </w:p>
    <w:p w14:paraId="6CB5530E" w14:textId="77777777" w:rsidR="00661DE4" w:rsidRPr="00894F6F" w:rsidRDefault="00661DE4" w:rsidP="00661DE4">
      <w:pPr>
        <w:keepNext/>
        <w:spacing w:line="240" w:lineRule="auto"/>
        <w:rPr>
          <w:rFonts w:eastAsiaTheme="minorEastAsia"/>
          <w:b/>
          <w:bCs/>
          <w:sz w:val="24"/>
          <w:szCs w:val="18"/>
          <w:lang w:eastAsia="en-AU"/>
        </w:rPr>
      </w:pPr>
    </w:p>
    <w:p w14:paraId="03402F95" w14:textId="77777777" w:rsidR="00661DE4" w:rsidRPr="00EF66B8" w:rsidRDefault="00661DE4" w:rsidP="00661DE4">
      <w:pPr>
        <w:pStyle w:val="Heading1"/>
        <w:rPr>
          <w:rFonts w:cstheme="minorHAnsi"/>
          <w:b/>
          <w:color w:val="7030A0"/>
        </w:rPr>
      </w:pPr>
      <w:r w:rsidRPr="00EF66B8">
        <w:rPr>
          <w:rFonts w:cstheme="minorHAnsi"/>
          <w:b/>
          <w:color w:val="7030A0"/>
        </w:rPr>
        <w:t xml:space="preserve">Section 1:  Wyndham’s Gambling Harm Minimisation Policy and Action Plan 2018-2022 </w:t>
      </w:r>
    </w:p>
    <w:p w14:paraId="506E2565" w14:textId="77777777" w:rsidR="00661DE4" w:rsidRPr="00661DE4" w:rsidRDefault="00661DE4" w:rsidP="00661DE4">
      <w:pPr>
        <w:pStyle w:val="Heading1"/>
        <w:rPr>
          <w:b/>
          <w:color w:val="7030A0"/>
        </w:rPr>
      </w:pPr>
      <w:r w:rsidRPr="00661DE4">
        <w:rPr>
          <w:b/>
          <w:color w:val="7030A0"/>
        </w:rPr>
        <w:t>1.1 Wyndham’s Gambling Harm Minimisation Policy</w:t>
      </w:r>
    </w:p>
    <w:tbl>
      <w:tblPr>
        <w:tblStyle w:val="GridTable4-Accent4"/>
        <w:tblW w:w="0" w:type="auto"/>
        <w:tblLook w:val="04A0" w:firstRow="1" w:lastRow="0" w:firstColumn="1" w:lastColumn="0" w:noHBand="0" w:noVBand="1"/>
      </w:tblPr>
      <w:tblGrid>
        <w:gridCol w:w="9016"/>
      </w:tblGrid>
      <w:tr w:rsidR="00661DE4" w14:paraId="38B685CF" w14:textId="77777777" w:rsidTr="00EF66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C9D6B5D" w14:textId="77777777" w:rsidR="00661DE4" w:rsidRPr="00463A75" w:rsidRDefault="00661DE4" w:rsidP="00661DE4">
            <w:pPr>
              <w:jc w:val="center"/>
              <w:rPr>
                <w:b w:val="0"/>
                <w:sz w:val="28"/>
                <w:szCs w:val="28"/>
              </w:rPr>
            </w:pPr>
            <w:r w:rsidRPr="00463A75">
              <w:rPr>
                <w:b w:val="0"/>
                <w:sz w:val="28"/>
                <w:szCs w:val="28"/>
              </w:rPr>
              <w:t>Vision</w:t>
            </w:r>
          </w:p>
          <w:p w14:paraId="2E2C86D5" w14:textId="77777777" w:rsidR="00661DE4" w:rsidRDefault="00661DE4" w:rsidP="00661DE4">
            <w:pPr>
              <w:jc w:val="center"/>
            </w:pPr>
            <w:r w:rsidRPr="009165D9">
              <w:t xml:space="preserve">To protect and promote the health and wellbeing of all Wyndham residents by preventing the harms associated with gambling </w:t>
            </w:r>
          </w:p>
          <w:p w14:paraId="7D3D6E1F" w14:textId="77777777" w:rsidR="00661DE4" w:rsidRDefault="00661DE4" w:rsidP="00661DE4">
            <w:pPr>
              <w:jc w:val="center"/>
            </w:pPr>
          </w:p>
        </w:tc>
      </w:tr>
      <w:tr w:rsidR="00661DE4" w14:paraId="6F3C51BB" w14:textId="77777777" w:rsidTr="00EF6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D383B6D" w14:textId="77777777" w:rsidR="00661DE4" w:rsidRDefault="00661DE4" w:rsidP="00661DE4">
            <w:pPr>
              <w:rPr>
                <w:b w:val="0"/>
              </w:rPr>
            </w:pPr>
            <w:r w:rsidRPr="00852093">
              <w:rPr>
                <w:b w:val="0"/>
              </w:rPr>
              <w:t>Goal 1: To advocate in partnership with community for systemic and legislative change to address gambling harm.</w:t>
            </w:r>
          </w:p>
          <w:p w14:paraId="014CADA7" w14:textId="77777777" w:rsidR="00661DE4" w:rsidRDefault="00661DE4" w:rsidP="00661DE4">
            <w:pPr>
              <w:rPr>
                <w:b w:val="0"/>
              </w:rPr>
            </w:pPr>
          </w:p>
          <w:p w14:paraId="75AE861A" w14:textId="77777777" w:rsidR="00661DE4" w:rsidRPr="00852093" w:rsidRDefault="00661DE4" w:rsidP="00661DE4">
            <w:pPr>
              <w:rPr>
                <w:b w:val="0"/>
              </w:rPr>
            </w:pPr>
            <w:r>
              <w:rPr>
                <w:b w:val="0"/>
              </w:rPr>
              <w:t>Objectives</w:t>
            </w:r>
          </w:p>
          <w:p w14:paraId="435B9A9E" w14:textId="77777777" w:rsidR="00661DE4" w:rsidRPr="00305ECC" w:rsidRDefault="00661DE4" w:rsidP="00661DE4">
            <w:pPr>
              <w:rPr>
                <w:i/>
              </w:rPr>
            </w:pPr>
            <w:r>
              <w:rPr>
                <w:i/>
              </w:rPr>
              <w:t>1. To</w:t>
            </w:r>
            <w:r w:rsidRPr="00305ECC">
              <w:rPr>
                <w:i/>
              </w:rPr>
              <w:t xml:space="preserve"> reduce the number of EGMs in Wyndham</w:t>
            </w:r>
            <w:r>
              <w:rPr>
                <w:i/>
              </w:rPr>
              <w:t xml:space="preserve"> </w:t>
            </w:r>
          </w:p>
          <w:p w14:paraId="2C47787D" w14:textId="77777777" w:rsidR="00661DE4" w:rsidRDefault="00661DE4" w:rsidP="00661DE4">
            <w:r>
              <w:t>This will include advocacy for:</w:t>
            </w:r>
          </w:p>
          <w:p w14:paraId="4CE62C20" w14:textId="77777777" w:rsidR="00661DE4" w:rsidRDefault="00661DE4" w:rsidP="00661DE4">
            <w:pPr>
              <w:pStyle w:val="ListParagraph"/>
            </w:pPr>
            <w:r>
              <w:t>•  a regional cap on the number of EGMs across Wyndham limited to the current number;</w:t>
            </w:r>
          </w:p>
          <w:p w14:paraId="3537A3DD" w14:textId="77777777" w:rsidR="00661DE4" w:rsidRDefault="00661DE4" w:rsidP="00661DE4">
            <w:pPr>
              <w:pStyle w:val="ListParagraph"/>
            </w:pPr>
            <w:r>
              <w:t>•  a reduction over time of the total number of EGMs across Wyndham.</w:t>
            </w:r>
          </w:p>
          <w:p w14:paraId="32961FC4" w14:textId="77777777" w:rsidR="00661DE4" w:rsidRDefault="00661DE4" w:rsidP="00661DE4"/>
          <w:p w14:paraId="444D6ACF" w14:textId="77777777" w:rsidR="00661DE4" w:rsidRPr="00C51409" w:rsidRDefault="00661DE4" w:rsidP="00661DE4">
            <w:pPr>
              <w:rPr>
                <w:i/>
              </w:rPr>
            </w:pPr>
            <w:r>
              <w:t xml:space="preserve">2. </w:t>
            </w:r>
            <w:r>
              <w:rPr>
                <w:i/>
              </w:rPr>
              <w:t xml:space="preserve"> To</w:t>
            </w:r>
            <w:r w:rsidRPr="00C51409">
              <w:rPr>
                <w:i/>
              </w:rPr>
              <w:t xml:space="preserve"> reform the gambling industry to reduce gambling harms</w:t>
            </w:r>
            <w:r>
              <w:rPr>
                <w:i/>
              </w:rPr>
              <w:t xml:space="preserve"> </w:t>
            </w:r>
          </w:p>
          <w:p w14:paraId="69076169" w14:textId="77777777" w:rsidR="00661DE4" w:rsidRPr="00A049B7" w:rsidRDefault="00661DE4" w:rsidP="00661DE4">
            <w:r w:rsidRPr="00A049B7">
              <w:t>This will include advocacy for</w:t>
            </w:r>
            <w:r>
              <w:t>:</w:t>
            </w:r>
            <w:r w:rsidRPr="00A049B7">
              <w:t xml:space="preserve"> </w:t>
            </w:r>
          </w:p>
          <w:p w14:paraId="5B30EDA8" w14:textId="77777777" w:rsidR="00661DE4" w:rsidRDefault="00661DE4" w:rsidP="00661DE4">
            <w:pPr>
              <w:ind w:left="360"/>
            </w:pPr>
            <w:r>
              <w:t>•</w:t>
            </w:r>
            <w:r>
              <w:tab/>
              <w:t>mandatory pre-commitment measures and $1 maximum bets;</w:t>
            </w:r>
          </w:p>
          <w:p w14:paraId="7F1A312D" w14:textId="77777777" w:rsidR="00661DE4" w:rsidRDefault="00661DE4" w:rsidP="00661DE4">
            <w:pPr>
              <w:ind w:left="360"/>
            </w:pPr>
            <w:r>
              <w:t>•</w:t>
            </w:r>
            <w:r>
              <w:tab/>
              <w:t xml:space="preserve">the removal of machine features which are misleading and addictive; </w:t>
            </w:r>
          </w:p>
          <w:p w14:paraId="2ADD81D0" w14:textId="77777777" w:rsidR="00661DE4" w:rsidRDefault="00661DE4" w:rsidP="00661DE4">
            <w:pPr>
              <w:ind w:left="360"/>
            </w:pPr>
            <w:r>
              <w:t>•</w:t>
            </w:r>
            <w:r>
              <w:tab/>
              <w:t>reduction of gaming venue operating hours;</w:t>
            </w:r>
          </w:p>
          <w:p w14:paraId="0EC9C2C9" w14:textId="77777777" w:rsidR="00661DE4" w:rsidRDefault="00661DE4" w:rsidP="00661DE4">
            <w:pPr>
              <w:ind w:left="360"/>
            </w:pPr>
            <w:r>
              <w:t>•</w:t>
            </w:r>
            <w:r>
              <w:tab/>
              <w:t>reform of the community benefit contribution made by gaming venue clubs;</w:t>
            </w:r>
          </w:p>
          <w:p w14:paraId="6D4251AA" w14:textId="77777777" w:rsidR="00661DE4" w:rsidRDefault="00661DE4" w:rsidP="00661DE4">
            <w:pPr>
              <w:pStyle w:val="ListParagraph"/>
              <w:numPr>
                <w:ilvl w:val="0"/>
                <w:numId w:val="14"/>
              </w:numPr>
              <w:spacing w:after="0" w:line="240" w:lineRule="auto"/>
            </w:pPr>
            <w:r>
              <w:t>taxation reform that taxes wealth rather than gambling</w:t>
            </w:r>
          </w:p>
          <w:p w14:paraId="2443CCE3" w14:textId="77777777" w:rsidR="00661DE4" w:rsidRDefault="00661DE4" w:rsidP="00661DE4"/>
          <w:p w14:paraId="5817EA1E" w14:textId="77777777" w:rsidR="00661DE4" w:rsidRPr="00C51409" w:rsidRDefault="00661DE4" w:rsidP="00661DE4">
            <w:pPr>
              <w:rPr>
                <w:i/>
              </w:rPr>
            </w:pPr>
            <w:r>
              <w:rPr>
                <w:i/>
              </w:rPr>
              <w:t>3.  To</w:t>
            </w:r>
            <w:r w:rsidRPr="00C51409">
              <w:rPr>
                <w:i/>
              </w:rPr>
              <w:t xml:space="preserve"> partner with community, organisations</w:t>
            </w:r>
            <w:r>
              <w:rPr>
                <w:i/>
              </w:rPr>
              <w:t xml:space="preserve"> and alliances to support joint </w:t>
            </w:r>
            <w:r w:rsidRPr="00C51409">
              <w:rPr>
                <w:i/>
              </w:rPr>
              <w:t>advocacy efforts to reduce gambling harm in Wyndham and surrounding communities.</w:t>
            </w:r>
          </w:p>
          <w:p w14:paraId="287D6FF2" w14:textId="77777777" w:rsidR="00661DE4" w:rsidRDefault="00661DE4" w:rsidP="00661DE4"/>
        </w:tc>
      </w:tr>
      <w:tr w:rsidR="00661DE4" w:rsidRPr="00463A75" w14:paraId="785D3074" w14:textId="77777777" w:rsidTr="00EF66B8">
        <w:tc>
          <w:tcPr>
            <w:cnfStyle w:val="001000000000" w:firstRow="0" w:lastRow="0" w:firstColumn="1" w:lastColumn="0" w:oddVBand="0" w:evenVBand="0" w:oddHBand="0" w:evenHBand="0" w:firstRowFirstColumn="0" w:firstRowLastColumn="0" w:lastRowFirstColumn="0" w:lastRowLastColumn="0"/>
            <w:tcW w:w="9016" w:type="dxa"/>
          </w:tcPr>
          <w:p w14:paraId="78186353" w14:textId="77777777" w:rsidR="00661DE4" w:rsidRPr="00852093" w:rsidRDefault="00661DE4" w:rsidP="00661DE4">
            <w:pPr>
              <w:rPr>
                <w:b w:val="0"/>
              </w:rPr>
            </w:pPr>
            <w:r w:rsidRPr="00852093">
              <w:rPr>
                <w:b w:val="0"/>
              </w:rPr>
              <w:t>Goal 2</w:t>
            </w:r>
            <w:r>
              <w:rPr>
                <w:b w:val="0"/>
              </w:rPr>
              <w:t>:</w:t>
            </w:r>
            <w:r w:rsidRPr="00852093">
              <w:rPr>
                <w:b w:val="0"/>
              </w:rPr>
              <w:t xml:space="preserve"> </w:t>
            </w:r>
            <w:r>
              <w:rPr>
                <w:b w:val="0"/>
              </w:rPr>
              <w:t>To take a whole of organisation approach and</w:t>
            </w:r>
            <w:r w:rsidRPr="00852093">
              <w:rPr>
                <w:b w:val="0"/>
              </w:rPr>
              <w:t xml:space="preserve"> </w:t>
            </w:r>
            <w:r>
              <w:rPr>
                <w:b w:val="0"/>
              </w:rPr>
              <w:t xml:space="preserve">partner with community </w:t>
            </w:r>
            <w:r w:rsidRPr="00852093">
              <w:rPr>
                <w:b w:val="0"/>
              </w:rPr>
              <w:t>in preventing and minimising gambling harm</w:t>
            </w:r>
            <w:r>
              <w:rPr>
                <w:b w:val="0"/>
              </w:rPr>
              <w:t xml:space="preserve"> and promoting health and wellbeing.</w:t>
            </w:r>
          </w:p>
          <w:p w14:paraId="5AA752AC" w14:textId="77777777" w:rsidR="00661DE4" w:rsidRDefault="00661DE4" w:rsidP="00661DE4">
            <w:pPr>
              <w:rPr>
                <w:i/>
              </w:rPr>
            </w:pPr>
          </w:p>
          <w:p w14:paraId="601B837F" w14:textId="77777777" w:rsidR="00661DE4" w:rsidRPr="00891B7D" w:rsidRDefault="00661DE4" w:rsidP="00661DE4">
            <w:pPr>
              <w:rPr>
                <w:i/>
              </w:rPr>
            </w:pPr>
            <w:r>
              <w:rPr>
                <w:i/>
              </w:rPr>
              <w:t xml:space="preserve">4.To ensure Council policies and strategies consistently support the reduction of </w:t>
            </w:r>
            <w:r w:rsidRPr="00891B7D">
              <w:rPr>
                <w:i/>
              </w:rPr>
              <w:t>gambling-related harm.</w:t>
            </w:r>
          </w:p>
          <w:p w14:paraId="1A909860" w14:textId="77777777" w:rsidR="00661DE4" w:rsidRDefault="00661DE4" w:rsidP="00661DE4"/>
          <w:p w14:paraId="38324A4E" w14:textId="77777777" w:rsidR="00661DE4" w:rsidRDefault="00661DE4" w:rsidP="00661DE4">
            <w:r>
              <w:rPr>
                <w:i/>
              </w:rPr>
              <w:t>5. To restrict</w:t>
            </w:r>
            <w:r w:rsidRPr="00C51409">
              <w:rPr>
                <w:i/>
              </w:rPr>
              <w:t xml:space="preserve"> the use of </w:t>
            </w:r>
            <w:r>
              <w:rPr>
                <w:i/>
              </w:rPr>
              <w:t>Council</w:t>
            </w:r>
            <w:r w:rsidRPr="00C51409">
              <w:rPr>
                <w:i/>
              </w:rPr>
              <w:t xml:space="preserve"> resources and facilities for engaging in, </w:t>
            </w:r>
            <w:r>
              <w:rPr>
                <w:i/>
              </w:rPr>
              <w:t>or</w:t>
            </w:r>
            <w:r w:rsidRPr="00C51409">
              <w:rPr>
                <w:i/>
              </w:rPr>
              <w:t xml:space="preserve"> promoting gambling</w:t>
            </w:r>
            <w:r>
              <w:rPr>
                <w:i/>
              </w:rPr>
              <w:t>)</w:t>
            </w:r>
            <w:r w:rsidRPr="00C51409">
              <w:rPr>
                <w:i/>
              </w:rPr>
              <w:t xml:space="preserve">. </w:t>
            </w:r>
            <w:r>
              <w:t xml:space="preserve">This will include: </w:t>
            </w:r>
          </w:p>
          <w:p w14:paraId="7C596B59" w14:textId="77777777" w:rsidR="00661DE4" w:rsidRDefault="00661DE4" w:rsidP="00661DE4">
            <w:pPr>
              <w:pStyle w:val="ListParagraph"/>
            </w:pPr>
            <w:r>
              <w:t>•prohibiting Council support for any new application for EGMs on Council-owned or managed land;</w:t>
            </w:r>
          </w:p>
          <w:p w14:paraId="0D782D72" w14:textId="77777777" w:rsidR="00661DE4" w:rsidRDefault="00661DE4" w:rsidP="00661DE4">
            <w:pPr>
              <w:pStyle w:val="ListParagraph"/>
            </w:pPr>
            <w:r>
              <w:t xml:space="preserve">•prohibiting gambling activity, promotion or advertising on Council-owned facilities. This pertains to online sports betting, online gambling and EGMs; </w:t>
            </w:r>
          </w:p>
          <w:p w14:paraId="5674287C" w14:textId="77777777" w:rsidR="00661DE4" w:rsidRDefault="00661DE4" w:rsidP="00661DE4">
            <w:pPr>
              <w:pStyle w:val="ListParagraph"/>
            </w:pPr>
            <w:r>
              <w:t>•prohibiting access to online gambling on Council-owned internet access points;</w:t>
            </w:r>
          </w:p>
          <w:p w14:paraId="4141EE1F" w14:textId="77777777" w:rsidR="00661DE4" w:rsidRDefault="00661DE4" w:rsidP="00661DE4">
            <w:pPr>
              <w:pStyle w:val="ListParagraph"/>
            </w:pPr>
            <w:r>
              <w:t>•no funding, grants or sponsorship being made available for activities that promote gambling; and</w:t>
            </w:r>
          </w:p>
          <w:p w14:paraId="1958E345" w14:textId="77777777" w:rsidR="00661DE4" w:rsidRDefault="00661DE4" w:rsidP="00661DE4">
            <w:pPr>
              <w:pStyle w:val="ListParagraph"/>
            </w:pPr>
            <w:r>
              <w:lastRenderedPageBreak/>
              <w:t>•prohibiting Council staff running events, activities, programs and social outings in venues that have EGMs.</w:t>
            </w:r>
          </w:p>
          <w:p w14:paraId="021396E7" w14:textId="77777777" w:rsidR="00661DE4" w:rsidRDefault="00661DE4" w:rsidP="00661DE4"/>
          <w:p w14:paraId="4490BE4F" w14:textId="77777777" w:rsidR="00661DE4" w:rsidRPr="00363DF4" w:rsidRDefault="00661DE4" w:rsidP="00661DE4">
            <w:pPr>
              <w:rPr>
                <w:i/>
              </w:rPr>
            </w:pPr>
            <w:r>
              <w:rPr>
                <w:i/>
              </w:rPr>
              <w:t>6. To</w:t>
            </w:r>
            <w:r w:rsidRPr="00363DF4">
              <w:rPr>
                <w:i/>
              </w:rPr>
              <w:t xml:space="preserve"> facilitate and support the provision of gambling free activities that enhance community connections and social inclusion.</w:t>
            </w:r>
          </w:p>
          <w:p w14:paraId="7FE1C4D9" w14:textId="77777777" w:rsidR="00661DE4" w:rsidRDefault="00661DE4" w:rsidP="00661DE4">
            <w:pPr>
              <w:rPr>
                <w:i/>
              </w:rPr>
            </w:pPr>
          </w:p>
          <w:p w14:paraId="1349BC1C" w14:textId="77777777" w:rsidR="00661DE4" w:rsidRPr="00363DF4" w:rsidRDefault="00661DE4" w:rsidP="00661DE4">
            <w:pPr>
              <w:rPr>
                <w:i/>
              </w:rPr>
            </w:pPr>
            <w:r>
              <w:rPr>
                <w:i/>
              </w:rPr>
              <w:t xml:space="preserve">7. To </w:t>
            </w:r>
            <w:r w:rsidRPr="00363DF4">
              <w:rPr>
                <w:i/>
              </w:rPr>
              <w:t xml:space="preserve">raise awareness about the health risks of gambling to individuals and the community both within the </w:t>
            </w:r>
            <w:r>
              <w:rPr>
                <w:i/>
              </w:rPr>
              <w:t>organisation and across Wyndham.</w:t>
            </w:r>
          </w:p>
          <w:p w14:paraId="0EC23AA4" w14:textId="77777777" w:rsidR="00661DE4" w:rsidRPr="004372C0" w:rsidRDefault="00661DE4" w:rsidP="00661DE4">
            <w:pPr>
              <w:pStyle w:val="ListParagraph"/>
              <w:ind w:left="1080"/>
              <w:rPr>
                <w:i/>
              </w:rPr>
            </w:pPr>
          </w:p>
          <w:p w14:paraId="4C506F75" w14:textId="77777777" w:rsidR="00661DE4" w:rsidRPr="00363DF4" w:rsidRDefault="00661DE4" w:rsidP="00661DE4">
            <w:pPr>
              <w:rPr>
                <w:i/>
              </w:rPr>
            </w:pPr>
            <w:r>
              <w:rPr>
                <w:i/>
              </w:rPr>
              <w:t>8. To</w:t>
            </w:r>
            <w:r w:rsidRPr="00363DF4">
              <w:rPr>
                <w:i/>
              </w:rPr>
              <w:t xml:space="preserve"> promote ongoing dialogue with gambling providers and work with them to reduce their reliance on gambling income.</w:t>
            </w:r>
          </w:p>
          <w:p w14:paraId="44D0B917" w14:textId="77777777" w:rsidR="00661DE4" w:rsidRDefault="00661DE4" w:rsidP="00661DE4"/>
          <w:p w14:paraId="16597C2D" w14:textId="77777777" w:rsidR="00661DE4" w:rsidRPr="00852093" w:rsidRDefault="00661DE4" w:rsidP="00661DE4">
            <w:pPr>
              <w:rPr>
                <w:i/>
              </w:rPr>
            </w:pPr>
            <w:r>
              <w:rPr>
                <w:i/>
              </w:rPr>
              <w:t>9. To</w:t>
            </w:r>
            <w:r w:rsidRPr="00363DF4">
              <w:rPr>
                <w:i/>
              </w:rPr>
              <w:t xml:space="preserve"> support research into the impacts of gambling and the development of effectiv</w:t>
            </w:r>
            <w:r>
              <w:rPr>
                <w:i/>
              </w:rPr>
              <w:t>e harm minimisation strategies.</w:t>
            </w:r>
          </w:p>
          <w:p w14:paraId="01FD9581" w14:textId="77777777" w:rsidR="00661DE4" w:rsidRPr="00463A75" w:rsidRDefault="00661DE4" w:rsidP="00661DE4">
            <w:pPr>
              <w:pStyle w:val="ListParagraph"/>
              <w:ind w:left="1080"/>
              <w:rPr>
                <w:b w:val="0"/>
                <w:sz w:val="28"/>
                <w:szCs w:val="28"/>
              </w:rPr>
            </w:pPr>
          </w:p>
        </w:tc>
      </w:tr>
      <w:tr w:rsidR="00661DE4" w:rsidRPr="00463A75" w14:paraId="3D816CB7" w14:textId="77777777" w:rsidTr="00EF6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A18D3FF" w14:textId="77777777" w:rsidR="00661DE4" w:rsidRPr="00852093" w:rsidRDefault="00661DE4" w:rsidP="00661DE4">
            <w:pPr>
              <w:rPr>
                <w:b w:val="0"/>
              </w:rPr>
            </w:pPr>
            <w:r w:rsidRPr="00852093">
              <w:rPr>
                <w:b w:val="0"/>
              </w:rPr>
              <w:lastRenderedPageBreak/>
              <w:t>Goal 3</w:t>
            </w:r>
            <w:r>
              <w:rPr>
                <w:b w:val="0"/>
              </w:rPr>
              <w:t xml:space="preserve">: </w:t>
            </w:r>
            <w:r w:rsidRPr="00852093">
              <w:rPr>
                <w:b w:val="0"/>
              </w:rPr>
              <w:t xml:space="preserve"> To enable community engaged and informed assessment of current and proposed gaming activity, particularly in the </w:t>
            </w:r>
            <w:r>
              <w:rPr>
                <w:b w:val="0"/>
              </w:rPr>
              <w:t>regulatory</w:t>
            </w:r>
            <w:r w:rsidRPr="00852093">
              <w:rPr>
                <w:b w:val="0"/>
              </w:rPr>
              <w:t xml:space="preserve"> process.</w:t>
            </w:r>
          </w:p>
          <w:p w14:paraId="15899FCD" w14:textId="77777777" w:rsidR="00661DE4" w:rsidRDefault="00661DE4" w:rsidP="00661DE4"/>
          <w:p w14:paraId="5BC43DDC" w14:textId="77777777" w:rsidR="00661DE4" w:rsidRPr="00363DF4" w:rsidRDefault="00661DE4" w:rsidP="00661DE4">
            <w:pPr>
              <w:rPr>
                <w:i/>
              </w:rPr>
            </w:pPr>
            <w:r>
              <w:rPr>
                <w:i/>
              </w:rPr>
              <w:t>10. To</w:t>
            </w:r>
            <w:r w:rsidRPr="00363DF4">
              <w:rPr>
                <w:i/>
              </w:rPr>
              <w:t xml:space="preserve"> ensure</w:t>
            </w:r>
            <w:r>
              <w:rPr>
                <w:i/>
              </w:rPr>
              <w:t xml:space="preserve"> </w:t>
            </w:r>
            <w:r w:rsidRPr="00690281">
              <w:rPr>
                <w:i/>
              </w:rPr>
              <w:t>Council’s local planning policy and process meet best practice in the assessment of EGM applications.</w:t>
            </w:r>
            <w:r w:rsidRPr="00D12A00">
              <w:t xml:space="preserve"> This includes </w:t>
            </w:r>
            <w:r w:rsidRPr="00D12A00">
              <w:rPr>
                <w:rFonts w:cstheme="minorHAnsi"/>
              </w:rPr>
              <w:t>Council resourcing representation at VCGLR and VCAT hearings as required.</w:t>
            </w:r>
          </w:p>
          <w:p w14:paraId="1285F837" w14:textId="77777777" w:rsidR="00661DE4" w:rsidRPr="004372C0" w:rsidRDefault="00661DE4" w:rsidP="00661DE4"/>
          <w:p w14:paraId="389020E9" w14:textId="77777777" w:rsidR="00661DE4" w:rsidRDefault="00661DE4" w:rsidP="00661DE4">
            <w:pPr>
              <w:rPr>
                <w:i/>
              </w:rPr>
            </w:pPr>
            <w:r>
              <w:rPr>
                <w:i/>
              </w:rPr>
              <w:t>11.</w:t>
            </w:r>
            <w:r w:rsidRPr="00153218">
              <w:rPr>
                <w:i/>
              </w:rPr>
              <w:t>To inform community leaders and community groups of electronic gaming activity in the municipality, and its impacts</w:t>
            </w:r>
          </w:p>
          <w:p w14:paraId="0C4B56B3" w14:textId="77777777" w:rsidR="00661DE4" w:rsidRDefault="00661DE4" w:rsidP="00661DE4">
            <w:pPr>
              <w:rPr>
                <w:i/>
              </w:rPr>
            </w:pPr>
          </w:p>
          <w:p w14:paraId="4149D284" w14:textId="77777777" w:rsidR="00661DE4" w:rsidRPr="00363DF4" w:rsidRDefault="00661DE4" w:rsidP="00661DE4">
            <w:pPr>
              <w:rPr>
                <w:i/>
              </w:rPr>
            </w:pPr>
            <w:r>
              <w:rPr>
                <w:i/>
              </w:rPr>
              <w:t xml:space="preserve"> 12.To</w:t>
            </w:r>
            <w:r w:rsidRPr="00363DF4">
              <w:rPr>
                <w:i/>
              </w:rPr>
              <w:t xml:space="preserve"> support and enable community and partner participation in planning decisions concerning gambling activities.</w:t>
            </w:r>
          </w:p>
          <w:p w14:paraId="481DE25A" w14:textId="77777777" w:rsidR="00661DE4" w:rsidRDefault="00661DE4" w:rsidP="00661DE4">
            <w:pPr>
              <w:rPr>
                <w:b w:val="0"/>
                <w:sz w:val="28"/>
                <w:szCs w:val="28"/>
              </w:rPr>
            </w:pPr>
          </w:p>
        </w:tc>
      </w:tr>
    </w:tbl>
    <w:p w14:paraId="2934700A" w14:textId="77777777" w:rsidR="00661DE4" w:rsidRPr="00661DE4" w:rsidRDefault="00661DE4" w:rsidP="00661DE4">
      <w:pPr>
        <w:jc w:val="both"/>
        <w:rPr>
          <w:rFonts w:eastAsiaTheme="minorEastAsia"/>
          <w:b/>
          <w:bCs/>
          <w:color w:val="7030A0"/>
          <w:sz w:val="24"/>
          <w:szCs w:val="18"/>
          <w:lang w:eastAsia="en-AU"/>
        </w:rPr>
      </w:pPr>
    </w:p>
    <w:p w14:paraId="5BBAF504" w14:textId="77777777" w:rsidR="00661DE4" w:rsidRPr="00EF66B8" w:rsidRDefault="00661DE4" w:rsidP="00EF66B8">
      <w:pPr>
        <w:pStyle w:val="Heading1"/>
        <w:rPr>
          <w:b/>
          <w:color w:val="7030A0"/>
        </w:rPr>
      </w:pPr>
      <w:r w:rsidRPr="00EF66B8">
        <w:rPr>
          <w:b/>
          <w:color w:val="7030A0"/>
        </w:rPr>
        <w:t>1.2 Wyndham’s Harm Minimisation Action Plan 2018-2022</w:t>
      </w:r>
    </w:p>
    <w:p w14:paraId="2E567BF0" w14:textId="77777777" w:rsidR="00661DE4" w:rsidRPr="00894F6F" w:rsidRDefault="00661DE4" w:rsidP="00661DE4">
      <w:pPr>
        <w:jc w:val="both"/>
      </w:pPr>
      <w:bookmarkStart w:id="8" w:name="_Hlk506464840"/>
      <w:r>
        <w:t xml:space="preserve">The Action Plan describes how the policy goals will be implemented across a four-year timeframe, identifying actions against each objective.  </w:t>
      </w:r>
      <w:bookmarkEnd w:id="8"/>
      <w:r w:rsidRPr="00894F6F">
        <w:t>The following timeframes have been allocated to the actions</w:t>
      </w:r>
      <w:r>
        <w:t xml:space="preserve">: </w:t>
      </w:r>
    </w:p>
    <w:tbl>
      <w:tblPr>
        <w:tblStyle w:val="GridTable5Dark-Accent4"/>
        <w:tblW w:w="0" w:type="auto"/>
        <w:tblLook w:val="04A0" w:firstRow="1" w:lastRow="0" w:firstColumn="1" w:lastColumn="0" w:noHBand="0" w:noVBand="1"/>
      </w:tblPr>
      <w:tblGrid>
        <w:gridCol w:w="1838"/>
        <w:gridCol w:w="1559"/>
      </w:tblGrid>
      <w:tr w:rsidR="00661DE4" w:rsidRPr="00894F6F" w14:paraId="36946B9C" w14:textId="77777777" w:rsidTr="00EF66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gridSpan w:val="2"/>
          </w:tcPr>
          <w:p w14:paraId="46DD65BA" w14:textId="77777777" w:rsidR="00661DE4" w:rsidRPr="00894F6F" w:rsidRDefault="00661DE4" w:rsidP="00661DE4">
            <w:r w:rsidRPr="00894F6F">
              <w:t>Time-frame</w:t>
            </w:r>
          </w:p>
        </w:tc>
      </w:tr>
      <w:tr w:rsidR="00661DE4" w:rsidRPr="00894F6F" w14:paraId="2F855AF9" w14:textId="77777777" w:rsidTr="00EF6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6F10DBE" w14:textId="77777777" w:rsidR="00661DE4" w:rsidRPr="00894F6F" w:rsidRDefault="00661DE4" w:rsidP="00661DE4">
            <w:r w:rsidRPr="00894F6F">
              <w:t>Short-term</w:t>
            </w:r>
          </w:p>
        </w:tc>
        <w:tc>
          <w:tcPr>
            <w:tcW w:w="1559" w:type="dxa"/>
          </w:tcPr>
          <w:p w14:paraId="18A93C92" w14:textId="77777777" w:rsidR="00661DE4" w:rsidRPr="00894F6F" w:rsidRDefault="00661DE4" w:rsidP="00661DE4">
            <w:pPr>
              <w:cnfStyle w:val="000000100000" w:firstRow="0" w:lastRow="0" w:firstColumn="0" w:lastColumn="0" w:oddVBand="0" w:evenVBand="0" w:oddHBand="1" w:evenHBand="0" w:firstRowFirstColumn="0" w:firstRowLastColumn="0" w:lastRowFirstColumn="0" w:lastRowLastColumn="0"/>
            </w:pPr>
            <w:r w:rsidRPr="00894F6F">
              <w:t>Year 1 to 2</w:t>
            </w:r>
          </w:p>
        </w:tc>
      </w:tr>
      <w:tr w:rsidR="00661DE4" w:rsidRPr="00894F6F" w14:paraId="3FEC0F2D" w14:textId="77777777" w:rsidTr="00EF66B8">
        <w:tc>
          <w:tcPr>
            <w:cnfStyle w:val="001000000000" w:firstRow="0" w:lastRow="0" w:firstColumn="1" w:lastColumn="0" w:oddVBand="0" w:evenVBand="0" w:oddHBand="0" w:evenHBand="0" w:firstRowFirstColumn="0" w:firstRowLastColumn="0" w:lastRowFirstColumn="0" w:lastRowLastColumn="0"/>
            <w:tcW w:w="1838" w:type="dxa"/>
          </w:tcPr>
          <w:p w14:paraId="29FFC332" w14:textId="77777777" w:rsidR="00661DE4" w:rsidRPr="00894F6F" w:rsidRDefault="00661DE4" w:rsidP="00661DE4">
            <w:r w:rsidRPr="00894F6F">
              <w:t>Medium - term</w:t>
            </w:r>
          </w:p>
        </w:tc>
        <w:tc>
          <w:tcPr>
            <w:tcW w:w="1559" w:type="dxa"/>
          </w:tcPr>
          <w:p w14:paraId="53F02C9B" w14:textId="77777777" w:rsidR="00661DE4" w:rsidRPr="00894F6F" w:rsidRDefault="00661DE4" w:rsidP="00661DE4">
            <w:pPr>
              <w:cnfStyle w:val="000000000000" w:firstRow="0" w:lastRow="0" w:firstColumn="0" w:lastColumn="0" w:oddVBand="0" w:evenVBand="0" w:oddHBand="0" w:evenHBand="0" w:firstRowFirstColumn="0" w:firstRowLastColumn="0" w:lastRowFirstColumn="0" w:lastRowLastColumn="0"/>
            </w:pPr>
            <w:r w:rsidRPr="00894F6F">
              <w:t>Year 2 to 3</w:t>
            </w:r>
          </w:p>
        </w:tc>
      </w:tr>
      <w:tr w:rsidR="00661DE4" w:rsidRPr="00894F6F" w14:paraId="6ED929B4" w14:textId="77777777" w:rsidTr="00EF6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E0EF528" w14:textId="77777777" w:rsidR="00661DE4" w:rsidRPr="00661DE4" w:rsidRDefault="00661DE4" w:rsidP="00661DE4">
            <w:pPr>
              <w:rPr>
                <w:color w:val="7030A0"/>
              </w:rPr>
            </w:pPr>
            <w:r w:rsidRPr="00894F6F">
              <w:t>Long-term</w:t>
            </w:r>
          </w:p>
        </w:tc>
        <w:tc>
          <w:tcPr>
            <w:tcW w:w="1559" w:type="dxa"/>
          </w:tcPr>
          <w:p w14:paraId="7EDFE821" w14:textId="77777777" w:rsidR="00661DE4" w:rsidRPr="00894F6F" w:rsidRDefault="00661DE4" w:rsidP="00661DE4">
            <w:pPr>
              <w:cnfStyle w:val="000000100000" w:firstRow="0" w:lastRow="0" w:firstColumn="0" w:lastColumn="0" w:oddVBand="0" w:evenVBand="0" w:oddHBand="1" w:evenHBand="0" w:firstRowFirstColumn="0" w:firstRowLastColumn="0" w:lastRowFirstColumn="0" w:lastRowLastColumn="0"/>
            </w:pPr>
            <w:r w:rsidRPr="00894F6F">
              <w:t>Year 3 to 4</w:t>
            </w:r>
          </w:p>
        </w:tc>
      </w:tr>
      <w:tr w:rsidR="00661DE4" w:rsidRPr="00894F6F" w14:paraId="10F903B7" w14:textId="77777777" w:rsidTr="00EF66B8">
        <w:tc>
          <w:tcPr>
            <w:cnfStyle w:val="001000000000" w:firstRow="0" w:lastRow="0" w:firstColumn="1" w:lastColumn="0" w:oddVBand="0" w:evenVBand="0" w:oddHBand="0" w:evenHBand="0" w:firstRowFirstColumn="0" w:firstRowLastColumn="0" w:lastRowFirstColumn="0" w:lastRowLastColumn="0"/>
            <w:tcW w:w="1838" w:type="dxa"/>
          </w:tcPr>
          <w:p w14:paraId="1C21D800" w14:textId="77777777" w:rsidR="00661DE4" w:rsidRPr="00894F6F" w:rsidRDefault="00661DE4" w:rsidP="00661DE4">
            <w:r w:rsidRPr="00894F6F">
              <w:t>Ongoing</w:t>
            </w:r>
          </w:p>
        </w:tc>
        <w:tc>
          <w:tcPr>
            <w:tcW w:w="1559" w:type="dxa"/>
          </w:tcPr>
          <w:p w14:paraId="59684A58" w14:textId="77777777" w:rsidR="00661DE4" w:rsidRPr="00894F6F" w:rsidRDefault="00661DE4" w:rsidP="00661DE4">
            <w:pPr>
              <w:cnfStyle w:val="000000000000" w:firstRow="0" w:lastRow="0" w:firstColumn="0" w:lastColumn="0" w:oddVBand="0" w:evenVBand="0" w:oddHBand="0" w:evenHBand="0" w:firstRowFirstColumn="0" w:firstRowLastColumn="0" w:lastRowFirstColumn="0" w:lastRowLastColumn="0"/>
            </w:pPr>
          </w:p>
        </w:tc>
      </w:tr>
    </w:tbl>
    <w:p w14:paraId="3C102C9E" w14:textId="77777777" w:rsidR="00661DE4" w:rsidRDefault="00661DE4" w:rsidP="00661DE4">
      <w:pPr>
        <w:rPr>
          <w:rFonts w:eastAsiaTheme="minorEastAsia"/>
          <w:b/>
          <w:bCs/>
          <w:sz w:val="24"/>
          <w:szCs w:val="18"/>
          <w:lang w:eastAsia="en-AU"/>
        </w:rPr>
      </w:pPr>
    </w:p>
    <w:p w14:paraId="538C7886" w14:textId="77777777" w:rsidR="00661DE4" w:rsidRPr="00894F6F" w:rsidRDefault="00661DE4" w:rsidP="00661DE4">
      <w:pPr>
        <w:keepNext/>
        <w:spacing w:line="240" w:lineRule="auto"/>
        <w:rPr>
          <w:rFonts w:eastAsiaTheme="minorEastAsia"/>
          <w:b/>
          <w:bCs/>
          <w:sz w:val="24"/>
          <w:szCs w:val="18"/>
          <w:lang w:eastAsia="en-AU"/>
        </w:rPr>
      </w:pPr>
    </w:p>
    <w:p w14:paraId="4EF87F53" w14:textId="77777777" w:rsidR="00661DE4" w:rsidRPr="00894F6F" w:rsidRDefault="00661DE4" w:rsidP="00661DE4">
      <w:pPr>
        <w:contextualSpacing/>
      </w:pPr>
    </w:p>
    <w:p w14:paraId="2E397A68" w14:textId="77777777" w:rsidR="00661DE4" w:rsidRPr="00894F6F" w:rsidRDefault="00661DE4" w:rsidP="00661DE4">
      <w:pPr>
        <w:keepNext/>
        <w:spacing w:line="240" w:lineRule="auto"/>
        <w:rPr>
          <w:rFonts w:eastAsiaTheme="minorEastAsia"/>
          <w:b/>
          <w:bCs/>
          <w:sz w:val="24"/>
          <w:szCs w:val="18"/>
          <w:lang w:eastAsia="en-AU"/>
        </w:rPr>
      </w:pPr>
    </w:p>
    <w:p w14:paraId="6E19A6CB" w14:textId="77777777" w:rsidR="00661DE4" w:rsidRPr="00894F6F" w:rsidRDefault="00661DE4" w:rsidP="00661DE4">
      <w:pPr>
        <w:keepNext/>
        <w:spacing w:line="240" w:lineRule="auto"/>
        <w:rPr>
          <w:rFonts w:eastAsiaTheme="minorEastAsia"/>
          <w:b/>
          <w:bCs/>
          <w:sz w:val="24"/>
          <w:szCs w:val="18"/>
          <w:lang w:eastAsia="en-AU"/>
        </w:rPr>
        <w:sectPr w:rsidR="00661DE4" w:rsidRPr="00894F6F" w:rsidSect="007C490A">
          <w:headerReference w:type="default" r:id="rId9"/>
          <w:footerReference w:type="even" r:id="rId10"/>
          <w:footerReference w:type="default" r:id="rId11"/>
          <w:pgSz w:w="11906" w:h="16838"/>
          <w:pgMar w:top="1440" w:right="1440" w:bottom="1440" w:left="1440" w:header="708" w:footer="708" w:gutter="0"/>
          <w:pgNumType w:start="0"/>
          <w:cols w:space="708"/>
          <w:docGrid w:linePitch="360"/>
        </w:sectPr>
      </w:pPr>
    </w:p>
    <w:tbl>
      <w:tblPr>
        <w:tblStyle w:val="GridTable5Dark-Accent4"/>
        <w:tblW w:w="0" w:type="auto"/>
        <w:tblLook w:val="04A0" w:firstRow="1" w:lastRow="0" w:firstColumn="1" w:lastColumn="0" w:noHBand="0" w:noVBand="1"/>
      </w:tblPr>
      <w:tblGrid>
        <w:gridCol w:w="2263"/>
        <w:gridCol w:w="3828"/>
        <w:gridCol w:w="6662"/>
        <w:gridCol w:w="1195"/>
      </w:tblGrid>
      <w:tr w:rsidR="00661DE4" w:rsidRPr="00894F6F" w14:paraId="2628E0DC" w14:textId="77777777" w:rsidTr="005862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4"/>
          </w:tcPr>
          <w:p w14:paraId="6920B0BB" w14:textId="77777777" w:rsidR="00661DE4" w:rsidRPr="00894F6F" w:rsidRDefault="00661DE4" w:rsidP="00661DE4">
            <w:pPr>
              <w:rPr>
                <w:b w:val="0"/>
                <w:sz w:val="32"/>
                <w:szCs w:val="32"/>
              </w:rPr>
            </w:pPr>
            <w:bookmarkStart w:id="9" w:name="_Hlk505172162"/>
            <w:r>
              <w:rPr>
                <w:b w:val="0"/>
                <w:sz w:val="32"/>
                <w:szCs w:val="32"/>
              </w:rPr>
              <w:lastRenderedPageBreak/>
              <w:t>Goal 1: T</w:t>
            </w:r>
            <w:r w:rsidRPr="00894F6F">
              <w:rPr>
                <w:b w:val="0"/>
                <w:sz w:val="32"/>
                <w:szCs w:val="32"/>
              </w:rPr>
              <w:t xml:space="preserve">o advocate in partnership with community for systemic &amp; legislative change to address gambling </w:t>
            </w:r>
            <w:r>
              <w:rPr>
                <w:b w:val="0"/>
                <w:sz w:val="32"/>
                <w:szCs w:val="32"/>
              </w:rPr>
              <w:t>harm</w:t>
            </w:r>
          </w:p>
        </w:tc>
      </w:tr>
      <w:tr w:rsidR="00661DE4" w:rsidRPr="00894F6F" w14:paraId="66FC35AB" w14:textId="77777777" w:rsidTr="00586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947131E" w14:textId="77777777" w:rsidR="00661DE4" w:rsidRPr="00894F6F" w:rsidRDefault="00661DE4" w:rsidP="00661DE4"/>
        </w:tc>
        <w:tc>
          <w:tcPr>
            <w:tcW w:w="3828" w:type="dxa"/>
          </w:tcPr>
          <w:p w14:paraId="06B52C69" w14:textId="77777777" w:rsidR="00661DE4" w:rsidRPr="00894F6F" w:rsidRDefault="00661DE4" w:rsidP="00661DE4">
            <w:pPr>
              <w:cnfStyle w:val="000000100000" w:firstRow="0" w:lastRow="0" w:firstColumn="0" w:lastColumn="0" w:oddVBand="0" w:evenVBand="0" w:oddHBand="1" w:evenHBand="0" w:firstRowFirstColumn="0" w:firstRowLastColumn="0" w:lastRowFirstColumn="0" w:lastRowLastColumn="0"/>
              <w:rPr>
                <w:b/>
                <w:sz w:val="32"/>
                <w:szCs w:val="32"/>
              </w:rPr>
            </w:pPr>
            <w:r>
              <w:t>Objective</w:t>
            </w:r>
          </w:p>
        </w:tc>
        <w:tc>
          <w:tcPr>
            <w:tcW w:w="6662" w:type="dxa"/>
          </w:tcPr>
          <w:p w14:paraId="6F7568B2" w14:textId="77777777" w:rsidR="00661DE4" w:rsidRPr="00894F6F" w:rsidRDefault="00661DE4" w:rsidP="00661DE4">
            <w:pPr>
              <w:cnfStyle w:val="000000100000" w:firstRow="0" w:lastRow="0" w:firstColumn="0" w:lastColumn="0" w:oddVBand="0" w:evenVBand="0" w:oddHBand="1" w:evenHBand="0" w:firstRowFirstColumn="0" w:firstRowLastColumn="0" w:lastRowFirstColumn="0" w:lastRowLastColumn="0"/>
              <w:rPr>
                <w:b/>
                <w:sz w:val="32"/>
                <w:szCs w:val="32"/>
              </w:rPr>
            </w:pPr>
            <w:r w:rsidRPr="00894F6F">
              <w:t>Action</w:t>
            </w:r>
          </w:p>
        </w:tc>
        <w:tc>
          <w:tcPr>
            <w:tcW w:w="1195" w:type="dxa"/>
          </w:tcPr>
          <w:p w14:paraId="063E697B" w14:textId="77777777" w:rsidR="00661DE4" w:rsidRDefault="00661DE4" w:rsidP="00661DE4">
            <w:pPr>
              <w:cnfStyle w:val="000000100000" w:firstRow="0" w:lastRow="0" w:firstColumn="0" w:lastColumn="0" w:oddVBand="0" w:evenVBand="0" w:oddHBand="1" w:evenHBand="0" w:firstRowFirstColumn="0" w:firstRowLastColumn="0" w:lastRowFirstColumn="0" w:lastRowLastColumn="0"/>
            </w:pPr>
            <w:r w:rsidRPr="00894F6F">
              <w:t>Timing</w:t>
            </w:r>
          </w:p>
          <w:p w14:paraId="23614E0E" w14:textId="77777777" w:rsidR="00661DE4" w:rsidRPr="00894F6F" w:rsidRDefault="00661DE4" w:rsidP="00661DE4">
            <w:pPr>
              <w:cnfStyle w:val="000000100000" w:firstRow="0" w:lastRow="0" w:firstColumn="0" w:lastColumn="0" w:oddVBand="0" w:evenVBand="0" w:oddHBand="1" w:evenHBand="0" w:firstRowFirstColumn="0" w:firstRowLastColumn="0" w:lastRowFirstColumn="0" w:lastRowLastColumn="0"/>
              <w:rPr>
                <w:b/>
                <w:sz w:val="32"/>
                <w:szCs w:val="32"/>
              </w:rPr>
            </w:pPr>
          </w:p>
        </w:tc>
      </w:tr>
      <w:tr w:rsidR="00661DE4" w:rsidRPr="00894F6F" w14:paraId="216D015C" w14:textId="77777777" w:rsidTr="005862F2">
        <w:tc>
          <w:tcPr>
            <w:cnfStyle w:val="001000000000" w:firstRow="0" w:lastRow="0" w:firstColumn="1" w:lastColumn="0" w:oddVBand="0" w:evenVBand="0" w:oddHBand="0" w:evenHBand="0" w:firstRowFirstColumn="0" w:firstRowLastColumn="0" w:lastRowFirstColumn="0" w:lastRowLastColumn="0"/>
            <w:tcW w:w="2263" w:type="dxa"/>
          </w:tcPr>
          <w:p w14:paraId="74A3BF01" w14:textId="77777777" w:rsidR="00661DE4" w:rsidRPr="00894F6F" w:rsidRDefault="00661DE4" w:rsidP="00661DE4">
            <w:pPr>
              <w:rPr>
                <w:rFonts w:cstheme="minorHAnsi"/>
              </w:rPr>
            </w:pPr>
          </w:p>
        </w:tc>
        <w:tc>
          <w:tcPr>
            <w:tcW w:w="3828" w:type="dxa"/>
          </w:tcPr>
          <w:p w14:paraId="48E37A0E" w14:textId="77777777" w:rsidR="00661DE4" w:rsidRPr="0066552F" w:rsidRDefault="00661DE4" w:rsidP="00661DE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r w:rsidRPr="0066552F">
              <w:rPr>
                <w:rFonts w:cstheme="minorHAnsi"/>
              </w:rPr>
              <w:t xml:space="preserve">To reduce the number of EGMs in Wyndham </w:t>
            </w:r>
          </w:p>
        </w:tc>
        <w:tc>
          <w:tcPr>
            <w:tcW w:w="6662" w:type="dxa"/>
          </w:tcPr>
          <w:p w14:paraId="59CE4C1E" w14:textId="77777777" w:rsidR="00661DE4" w:rsidRPr="00894F6F" w:rsidRDefault="00661DE4" w:rsidP="00661DE4">
            <w:pPr>
              <w:pStyle w:val="Heading1"/>
              <w:numPr>
                <w:ilvl w:val="1"/>
                <w:numId w:val="15"/>
              </w:numPr>
              <w:spacing w:befor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auto"/>
                <w:sz w:val="22"/>
                <w:szCs w:val="22"/>
              </w:rPr>
            </w:pPr>
            <w:r w:rsidRPr="00894F6F">
              <w:rPr>
                <w:rFonts w:asciiTheme="minorHAnsi" w:hAnsiTheme="minorHAnsi" w:cstheme="minorHAnsi"/>
                <w:color w:val="auto"/>
                <w:sz w:val="22"/>
                <w:szCs w:val="22"/>
              </w:rPr>
              <w:t>Develop an advocacy position and strategy that includes:</w:t>
            </w:r>
          </w:p>
          <w:p w14:paraId="5A4AFD5A" w14:textId="77777777" w:rsidR="00661DE4" w:rsidRPr="00894F6F" w:rsidRDefault="00661DE4" w:rsidP="00661DE4">
            <w:pPr>
              <w:pStyle w:val="Heading1"/>
              <w:numPr>
                <w:ilvl w:val="0"/>
                <w:numId w:val="6"/>
              </w:numPr>
              <w:spacing w:before="0"/>
              <w:ind w:left="1452"/>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auto"/>
                <w:sz w:val="22"/>
                <w:szCs w:val="22"/>
              </w:rPr>
            </w:pPr>
            <w:r w:rsidRPr="00894F6F">
              <w:rPr>
                <w:rFonts w:asciiTheme="minorHAnsi" w:hAnsiTheme="minorHAnsi" w:cstheme="minorHAnsi"/>
                <w:color w:val="auto"/>
                <w:sz w:val="22"/>
                <w:szCs w:val="22"/>
              </w:rPr>
              <w:t>a</w:t>
            </w:r>
            <w:r w:rsidRPr="00894F6F">
              <w:rPr>
                <w:rFonts w:asciiTheme="minorHAnsi" w:hAnsiTheme="minorHAnsi" w:cstheme="minorHAnsi"/>
                <w:iCs/>
                <w:color w:val="auto"/>
                <w:sz w:val="22"/>
                <w:szCs w:val="22"/>
              </w:rPr>
              <w:t xml:space="preserve"> regional cap on the number of EGMs across Wyndham limited to the current number;</w:t>
            </w:r>
          </w:p>
          <w:p w14:paraId="09E65977" w14:textId="77777777" w:rsidR="00661DE4" w:rsidRPr="00894F6F" w:rsidRDefault="00661DE4" w:rsidP="00661DE4">
            <w:pPr>
              <w:pStyle w:val="ListParagraph"/>
              <w:numPr>
                <w:ilvl w:val="0"/>
                <w:numId w:val="6"/>
              </w:numPr>
              <w:spacing w:after="0" w:line="240" w:lineRule="auto"/>
              <w:ind w:left="1452"/>
              <w:cnfStyle w:val="000000000000" w:firstRow="0" w:lastRow="0" w:firstColumn="0" w:lastColumn="0" w:oddVBand="0" w:evenVBand="0" w:oddHBand="0" w:evenHBand="0" w:firstRowFirstColumn="0" w:firstRowLastColumn="0" w:lastRowFirstColumn="0" w:lastRowLastColumn="0"/>
              <w:rPr>
                <w:rFonts w:cstheme="minorHAnsi"/>
              </w:rPr>
            </w:pPr>
            <w:r w:rsidRPr="00894F6F">
              <w:rPr>
                <w:rFonts w:cstheme="minorHAnsi"/>
              </w:rPr>
              <w:t xml:space="preserve">a reduction over time of the total number of EGMs across </w:t>
            </w:r>
            <w:r>
              <w:rPr>
                <w:rFonts w:cstheme="minorHAnsi"/>
              </w:rPr>
              <w:t>Wyndham.</w:t>
            </w:r>
          </w:p>
          <w:p w14:paraId="6502CFB1" w14:textId="77777777" w:rsidR="00661DE4" w:rsidRPr="00894F6F" w:rsidRDefault="00661DE4" w:rsidP="00661DE4">
            <w:pPr>
              <w:pStyle w:val="ListParagraph"/>
              <w:numPr>
                <w:ilvl w:val="1"/>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894F6F">
              <w:rPr>
                <w:rFonts w:cstheme="minorHAnsi"/>
              </w:rPr>
              <w:t>Contribute submissions to State and Commonwealth gambling inquiries.</w:t>
            </w:r>
          </w:p>
          <w:p w14:paraId="37E6B29C" w14:textId="77777777" w:rsidR="00661DE4" w:rsidRPr="00A656A2" w:rsidRDefault="00661DE4" w:rsidP="00661DE4">
            <w:pPr>
              <w:pStyle w:val="ListParagraph"/>
              <w:numPr>
                <w:ilvl w:val="1"/>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894F6F">
              <w:rPr>
                <w:rFonts w:cstheme="minorHAnsi"/>
              </w:rPr>
              <w:t>Meet with government and gambling industry representatives, where possible and appropriate, to represent the interests of the local government sector and the Wyndham community.</w:t>
            </w:r>
          </w:p>
        </w:tc>
        <w:tc>
          <w:tcPr>
            <w:tcW w:w="1195" w:type="dxa"/>
          </w:tcPr>
          <w:p w14:paraId="285EE76F" w14:textId="77777777" w:rsidR="00661DE4" w:rsidRPr="00894F6F" w:rsidRDefault="00661DE4" w:rsidP="00661DE4">
            <w:pPr>
              <w:cnfStyle w:val="000000000000" w:firstRow="0" w:lastRow="0" w:firstColumn="0" w:lastColumn="0" w:oddVBand="0" w:evenVBand="0" w:oddHBand="0" w:evenHBand="0" w:firstRowFirstColumn="0" w:firstRowLastColumn="0" w:lastRowFirstColumn="0" w:lastRowLastColumn="0"/>
            </w:pPr>
            <w:r w:rsidRPr="00894F6F">
              <w:t>Short-term</w:t>
            </w:r>
          </w:p>
          <w:p w14:paraId="5BE16237" w14:textId="77777777" w:rsidR="00661DE4" w:rsidRPr="00894F6F" w:rsidRDefault="00661DE4" w:rsidP="00661DE4">
            <w:pPr>
              <w:cnfStyle w:val="000000000000" w:firstRow="0" w:lastRow="0" w:firstColumn="0" w:lastColumn="0" w:oddVBand="0" w:evenVBand="0" w:oddHBand="0" w:evenHBand="0" w:firstRowFirstColumn="0" w:firstRowLastColumn="0" w:lastRowFirstColumn="0" w:lastRowLastColumn="0"/>
            </w:pPr>
          </w:p>
          <w:p w14:paraId="7081D076" w14:textId="77777777" w:rsidR="00661DE4" w:rsidRPr="00894F6F" w:rsidRDefault="00661DE4" w:rsidP="00661DE4">
            <w:pPr>
              <w:cnfStyle w:val="000000000000" w:firstRow="0" w:lastRow="0" w:firstColumn="0" w:lastColumn="0" w:oddVBand="0" w:evenVBand="0" w:oddHBand="0" w:evenHBand="0" w:firstRowFirstColumn="0" w:firstRowLastColumn="0" w:lastRowFirstColumn="0" w:lastRowLastColumn="0"/>
            </w:pPr>
          </w:p>
          <w:p w14:paraId="3F274211" w14:textId="77777777" w:rsidR="00661DE4" w:rsidRPr="00894F6F" w:rsidRDefault="00661DE4" w:rsidP="00661DE4">
            <w:pPr>
              <w:cnfStyle w:val="000000000000" w:firstRow="0" w:lastRow="0" w:firstColumn="0" w:lastColumn="0" w:oddVBand="0" w:evenVBand="0" w:oddHBand="0" w:evenHBand="0" w:firstRowFirstColumn="0" w:firstRowLastColumn="0" w:lastRowFirstColumn="0" w:lastRowLastColumn="0"/>
            </w:pPr>
          </w:p>
          <w:p w14:paraId="601E621C" w14:textId="77777777" w:rsidR="00661DE4" w:rsidRPr="00894F6F" w:rsidRDefault="00661DE4" w:rsidP="00661DE4">
            <w:pPr>
              <w:cnfStyle w:val="000000000000" w:firstRow="0" w:lastRow="0" w:firstColumn="0" w:lastColumn="0" w:oddVBand="0" w:evenVBand="0" w:oddHBand="0" w:evenHBand="0" w:firstRowFirstColumn="0" w:firstRowLastColumn="0" w:lastRowFirstColumn="0" w:lastRowLastColumn="0"/>
            </w:pPr>
            <w:r>
              <w:t>Ongoing</w:t>
            </w:r>
          </w:p>
          <w:p w14:paraId="08A6C782" w14:textId="77777777" w:rsidR="00661DE4" w:rsidRDefault="00661DE4" w:rsidP="00661DE4">
            <w:pPr>
              <w:cnfStyle w:val="000000000000" w:firstRow="0" w:lastRow="0" w:firstColumn="0" w:lastColumn="0" w:oddVBand="0" w:evenVBand="0" w:oddHBand="0" w:evenHBand="0" w:firstRowFirstColumn="0" w:firstRowLastColumn="0" w:lastRowFirstColumn="0" w:lastRowLastColumn="0"/>
            </w:pPr>
          </w:p>
          <w:p w14:paraId="014078F5" w14:textId="77777777" w:rsidR="00661DE4" w:rsidRPr="00894F6F" w:rsidRDefault="00661DE4" w:rsidP="00661DE4">
            <w:pPr>
              <w:cnfStyle w:val="000000000000" w:firstRow="0" w:lastRow="0" w:firstColumn="0" w:lastColumn="0" w:oddVBand="0" w:evenVBand="0" w:oddHBand="0" w:evenHBand="0" w:firstRowFirstColumn="0" w:firstRowLastColumn="0" w:lastRowFirstColumn="0" w:lastRowLastColumn="0"/>
            </w:pPr>
            <w:r>
              <w:t>Ongoing</w:t>
            </w:r>
          </w:p>
        </w:tc>
      </w:tr>
      <w:tr w:rsidR="00661DE4" w:rsidRPr="00894F6F" w14:paraId="1327783E" w14:textId="77777777" w:rsidTr="00586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DD9DC4B" w14:textId="77777777" w:rsidR="00661DE4" w:rsidRPr="00894F6F" w:rsidRDefault="00661DE4" w:rsidP="00661DE4">
            <w:pPr>
              <w:rPr>
                <w:rFonts w:cstheme="minorHAnsi"/>
              </w:rPr>
            </w:pPr>
          </w:p>
        </w:tc>
        <w:tc>
          <w:tcPr>
            <w:tcW w:w="3828" w:type="dxa"/>
          </w:tcPr>
          <w:p w14:paraId="59E52597" w14:textId="77777777" w:rsidR="00661DE4" w:rsidRPr="00A1509C" w:rsidRDefault="00661DE4" w:rsidP="00661DE4">
            <w:pPr>
              <w:jc w:val="both"/>
              <w:cnfStyle w:val="000000100000" w:firstRow="0" w:lastRow="0" w:firstColumn="0" w:lastColumn="0" w:oddVBand="0" w:evenVBand="0" w:oddHBand="1" w:evenHBand="0" w:firstRowFirstColumn="0" w:firstRowLastColumn="0" w:lastRowFirstColumn="0" w:lastRowLastColumn="0"/>
              <w:rPr>
                <w:rFonts w:cstheme="minorHAnsi"/>
                <w:iCs/>
              </w:rPr>
            </w:pPr>
            <w:r>
              <w:rPr>
                <w:rFonts w:cstheme="minorHAnsi"/>
                <w:iCs/>
              </w:rPr>
              <w:t xml:space="preserve">2. To </w:t>
            </w:r>
            <w:r w:rsidRPr="00A1509C">
              <w:rPr>
                <w:rFonts w:cstheme="minorHAnsi"/>
                <w:iCs/>
              </w:rPr>
              <w:t>reform the gambling industry to reduce gambling harms</w:t>
            </w:r>
            <w:r>
              <w:rPr>
                <w:rFonts w:cstheme="minorHAnsi"/>
                <w:iCs/>
              </w:rPr>
              <w:t xml:space="preserve"> </w:t>
            </w:r>
          </w:p>
        </w:tc>
        <w:tc>
          <w:tcPr>
            <w:tcW w:w="6662" w:type="dxa"/>
          </w:tcPr>
          <w:p w14:paraId="46DFE926" w14:textId="77777777" w:rsidR="00661DE4" w:rsidRDefault="00661DE4" w:rsidP="00661DE4">
            <w:pPr>
              <w:pStyle w:val="Heading1"/>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2.1 To develop an advocacy strategy that includes support of:</w:t>
            </w:r>
          </w:p>
          <w:p w14:paraId="170021BC" w14:textId="77777777" w:rsidR="00661DE4" w:rsidRPr="00A1509C" w:rsidRDefault="00661DE4" w:rsidP="00661DE4">
            <w:pPr>
              <w:pStyle w:val="Heading1"/>
              <w:spacing w:before="0"/>
              <w:ind w:left="1077"/>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A1509C">
              <w:rPr>
                <w:rFonts w:asciiTheme="minorHAnsi" w:hAnsiTheme="minorHAnsi" w:cstheme="minorHAnsi"/>
                <w:color w:val="auto"/>
                <w:sz w:val="22"/>
                <w:szCs w:val="22"/>
              </w:rPr>
              <w:t>•</w:t>
            </w:r>
            <w:r w:rsidRPr="00A1509C">
              <w:rPr>
                <w:rFonts w:asciiTheme="minorHAnsi" w:hAnsiTheme="minorHAnsi" w:cstheme="minorHAnsi"/>
                <w:color w:val="auto"/>
                <w:sz w:val="22"/>
                <w:szCs w:val="22"/>
              </w:rPr>
              <w:tab/>
              <w:t>mandatory pre-commitment measures and $1 maximum bets;</w:t>
            </w:r>
          </w:p>
          <w:p w14:paraId="7B1AF559" w14:textId="77777777" w:rsidR="00661DE4" w:rsidRPr="00A1509C" w:rsidRDefault="00661DE4" w:rsidP="00661DE4">
            <w:pPr>
              <w:pStyle w:val="Heading1"/>
              <w:spacing w:before="0"/>
              <w:ind w:left="1077"/>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A1509C">
              <w:rPr>
                <w:rFonts w:asciiTheme="minorHAnsi" w:hAnsiTheme="minorHAnsi" w:cstheme="minorHAnsi"/>
                <w:color w:val="auto"/>
                <w:sz w:val="22"/>
                <w:szCs w:val="22"/>
              </w:rPr>
              <w:t>•</w:t>
            </w:r>
            <w:r w:rsidRPr="00A1509C">
              <w:rPr>
                <w:rFonts w:asciiTheme="minorHAnsi" w:hAnsiTheme="minorHAnsi" w:cstheme="minorHAnsi"/>
                <w:color w:val="auto"/>
                <w:sz w:val="22"/>
                <w:szCs w:val="22"/>
              </w:rPr>
              <w:tab/>
              <w:t xml:space="preserve">the removal of machine features which are misleading and addictive; </w:t>
            </w:r>
          </w:p>
          <w:p w14:paraId="54433F2F" w14:textId="77777777" w:rsidR="00661DE4" w:rsidRPr="00A1509C" w:rsidRDefault="00661DE4" w:rsidP="00661DE4">
            <w:pPr>
              <w:pStyle w:val="Heading1"/>
              <w:spacing w:before="0"/>
              <w:ind w:left="1077"/>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A1509C">
              <w:rPr>
                <w:rFonts w:asciiTheme="minorHAnsi" w:hAnsiTheme="minorHAnsi" w:cstheme="minorHAnsi"/>
                <w:color w:val="auto"/>
                <w:sz w:val="22"/>
                <w:szCs w:val="22"/>
              </w:rPr>
              <w:t>•</w:t>
            </w:r>
            <w:r w:rsidRPr="00A1509C">
              <w:rPr>
                <w:rFonts w:asciiTheme="minorHAnsi" w:hAnsiTheme="minorHAnsi" w:cstheme="minorHAnsi"/>
                <w:color w:val="auto"/>
                <w:sz w:val="22"/>
                <w:szCs w:val="22"/>
              </w:rPr>
              <w:tab/>
              <w:t>reduction of gaming venue operating hours</w:t>
            </w:r>
          </w:p>
          <w:p w14:paraId="32DBBEA0" w14:textId="77777777" w:rsidR="00661DE4" w:rsidRPr="00A1509C" w:rsidRDefault="00661DE4" w:rsidP="00661DE4">
            <w:pPr>
              <w:pStyle w:val="Heading1"/>
              <w:ind w:left="108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A1509C">
              <w:rPr>
                <w:rFonts w:asciiTheme="minorHAnsi" w:hAnsiTheme="minorHAnsi" w:cstheme="minorHAnsi"/>
                <w:color w:val="auto"/>
                <w:sz w:val="22"/>
                <w:szCs w:val="22"/>
              </w:rPr>
              <w:t>•</w:t>
            </w:r>
            <w:r w:rsidRPr="00A1509C">
              <w:rPr>
                <w:rFonts w:asciiTheme="minorHAnsi" w:hAnsiTheme="minorHAnsi" w:cstheme="minorHAnsi"/>
                <w:color w:val="auto"/>
                <w:sz w:val="22"/>
                <w:szCs w:val="22"/>
              </w:rPr>
              <w:tab/>
              <w:t>reform of the gambling industry, including of the community benefit contribution made by gaming venue clubs;</w:t>
            </w:r>
          </w:p>
          <w:p w14:paraId="332CBDB8" w14:textId="77777777" w:rsidR="00661DE4" w:rsidRPr="00894F6F" w:rsidRDefault="00661DE4" w:rsidP="00661DE4">
            <w:pPr>
              <w:pStyle w:val="ListParagraph"/>
              <w:numPr>
                <w:ilvl w:val="0"/>
                <w:numId w:val="6"/>
              </w:numPr>
              <w:spacing w:after="0" w:line="240" w:lineRule="auto"/>
              <w:ind w:left="1452"/>
              <w:cnfStyle w:val="000000100000" w:firstRow="0" w:lastRow="0" w:firstColumn="0" w:lastColumn="0" w:oddVBand="0" w:evenVBand="0" w:oddHBand="1" w:evenHBand="0" w:firstRowFirstColumn="0" w:firstRowLastColumn="0" w:lastRowFirstColumn="0" w:lastRowLastColumn="0"/>
              <w:rPr>
                <w:rFonts w:cstheme="minorHAnsi"/>
              </w:rPr>
            </w:pPr>
            <w:r w:rsidRPr="00894F6F">
              <w:rPr>
                <w:rFonts w:cstheme="minorHAnsi"/>
              </w:rPr>
              <w:t>other legislative amendments to further achieve harm minimisation within the gambling industry, particularly those recommended by the Productivity</w:t>
            </w:r>
            <w:r>
              <w:rPr>
                <w:rFonts w:cstheme="minorHAnsi"/>
              </w:rPr>
              <w:t xml:space="preserve"> Commission</w:t>
            </w:r>
            <w:r w:rsidRPr="00894F6F">
              <w:rPr>
                <w:rFonts w:cstheme="minorHAnsi"/>
              </w:rPr>
              <w:t xml:space="preserve"> in 2010.</w:t>
            </w:r>
          </w:p>
          <w:p w14:paraId="5676FB28" w14:textId="77777777" w:rsidR="00661DE4" w:rsidRPr="00894F6F" w:rsidRDefault="00661DE4" w:rsidP="00661DE4">
            <w:pPr>
              <w:pStyle w:val="Heading1"/>
              <w:spacing w:before="0"/>
              <w:ind w:left="108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c>
          <w:tcPr>
            <w:tcW w:w="1195" w:type="dxa"/>
          </w:tcPr>
          <w:p w14:paraId="2D8E1A07" w14:textId="77777777" w:rsidR="00661DE4" w:rsidRDefault="00661DE4" w:rsidP="00661DE4">
            <w:pPr>
              <w:cnfStyle w:val="000000100000" w:firstRow="0" w:lastRow="0" w:firstColumn="0" w:lastColumn="0" w:oddVBand="0" w:evenVBand="0" w:oddHBand="1" w:evenHBand="0" w:firstRowFirstColumn="0" w:firstRowLastColumn="0" w:lastRowFirstColumn="0" w:lastRowLastColumn="0"/>
            </w:pPr>
          </w:p>
          <w:p w14:paraId="3F8958FB" w14:textId="77777777" w:rsidR="00661DE4" w:rsidRPr="00894F6F" w:rsidRDefault="00661DE4" w:rsidP="00661DE4">
            <w:pPr>
              <w:cnfStyle w:val="000000100000" w:firstRow="0" w:lastRow="0" w:firstColumn="0" w:lastColumn="0" w:oddVBand="0" w:evenVBand="0" w:oddHBand="1" w:evenHBand="0" w:firstRowFirstColumn="0" w:firstRowLastColumn="0" w:lastRowFirstColumn="0" w:lastRowLastColumn="0"/>
            </w:pPr>
            <w:r>
              <w:t>Short term</w:t>
            </w:r>
          </w:p>
        </w:tc>
      </w:tr>
      <w:tr w:rsidR="00661DE4" w:rsidRPr="00894F6F" w14:paraId="0D5E2F42" w14:textId="77777777" w:rsidTr="005862F2">
        <w:tc>
          <w:tcPr>
            <w:cnfStyle w:val="001000000000" w:firstRow="0" w:lastRow="0" w:firstColumn="1" w:lastColumn="0" w:oddVBand="0" w:evenVBand="0" w:oddHBand="0" w:evenHBand="0" w:firstRowFirstColumn="0" w:firstRowLastColumn="0" w:lastRowFirstColumn="0" w:lastRowLastColumn="0"/>
            <w:tcW w:w="2263" w:type="dxa"/>
          </w:tcPr>
          <w:p w14:paraId="6C3C9AF1" w14:textId="77777777" w:rsidR="00661DE4" w:rsidRDefault="00661DE4" w:rsidP="00661DE4">
            <w:pPr>
              <w:rPr>
                <w:rFonts w:cstheme="minorHAnsi"/>
                <w:b w:val="0"/>
              </w:rPr>
            </w:pPr>
          </w:p>
          <w:p w14:paraId="6C110722" w14:textId="77777777" w:rsidR="005862F2" w:rsidRPr="00894F6F" w:rsidRDefault="005862F2" w:rsidP="00661DE4">
            <w:pPr>
              <w:rPr>
                <w:rFonts w:cstheme="minorHAnsi"/>
                <w:b w:val="0"/>
              </w:rPr>
            </w:pPr>
          </w:p>
        </w:tc>
        <w:tc>
          <w:tcPr>
            <w:tcW w:w="3828" w:type="dxa"/>
          </w:tcPr>
          <w:p w14:paraId="644B9FA8" w14:textId="77777777" w:rsidR="00661DE4" w:rsidRPr="00A656A2" w:rsidRDefault="00661DE4" w:rsidP="00661DE4">
            <w:pPr>
              <w:jc w:val="both"/>
              <w:cnfStyle w:val="000000000000" w:firstRow="0" w:lastRow="0" w:firstColumn="0" w:lastColumn="0" w:oddVBand="0" w:evenVBand="0" w:oddHBand="0" w:evenHBand="0" w:firstRowFirstColumn="0" w:firstRowLastColumn="0" w:lastRowFirstColumn="0" w:lastRowLastColumn="0"/>
              <w:rPr>
                <w:rFonts w:cstheme="minorHAnsi"/>
                <w:iCs/>
              </w:rPr>
            </w:pPr>
            <w:r w:rsidRPr="00A656A2">
              <w:rPr>
                <w:rFonts w:cstheme="minorHAnsi"/>
                <w:iCs/>
              </w:rPr>
              <w:t>3.</w:t>
            </w:r>
            <w:r>
              <w:rPr>
                <w:rFonts w:cstheme="minorHAnsi"/>
                <w:iCs/>
              </w:rPr>
              <w:t xml:space="preserve"> </w:t>
            </w:r>
            <w:r w:rsidRPr="00A656A2">
              <w:rPr>
                <w:rFonts w:cstheme="minorHAnsi"/>
                <w:iCs/>
              </w:rPr>
              <w:t>To partner with community, organisations and alliances to support joint advocacy efforts to reduce gambling harm in Wyndham and surrounding communities.</w:t>
            </w:r>
          </w:p>
        </w:tc>
        <w:tc>
          <w:tcPr>
            <w:tcW w:w="6662" w:type="dxa"/>
          </w:tcPr>
          <w:p w14:paraId="4438D70F" w14:textId="77777777" w:rsidR="00661DE4" w:rsidRDefault="00661DE4" w:rsidP="00661DE4">
            <w:pPr>
              <w:pStyle w:val="Heading1"/>
              <w:spacing w:befor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3.1 Partner</w:t>
            </w:r>
            <w:r w:rsidRPr="00894F6F">
              <w:rPr>
                <w:rFonts w:asciiTheme="minorHAnsi" w:hAnsiTheme="minorHAnsi" w:cstheme="minorHAnsi"/>
                <w:color w:val="auto"/>
                <w:sz w:val="22"/>
                <w:szCs w:val="22"/>
              </w:rPr>
              <w:t xml:space="preserve"> with new and existing organisations such as The Alliance for Gambling Reform, MAV, VLGA, VRGF, neighbouring councils and campaigns advocating for the prevention of gambling </w:t>
            </w:r>
            <w:r>
              <w:rPr>
                <w:rFonts w:asciiTheme="minorHAnsi" w:hAnsiTheme="minorHAnsi" w:cstheme="minorHAnsi"/>
                <w:color w:val="auto"/>
                <w:sz w:val="22"/>
                <w:szCs w:val="22"/>
              </w:rPr>
              <w:t>harm</w:t>
            </w:r>
            <w:r w:rsidRPr="00894F6F">
              <w:rPr>
                <w:rFonts w:asciiTheme="minorHAnsi" w:hAnsiTheme="minorHAnsi" w:cstheme="minorHAnsi"/>
                <w:color w:val="auto"/>
                <w:sz w:val="22"/>
                <w:szCs w:val="22"/>
              </w:rPr>
              <w:t>.</w:t>
            </w:r>
          </w:p>
          <w:p w14:paraId="539F2AEC" w14:textId="77777777" w:rsidR="00661DE4" w:rsidRPr="00B40227" w:rsidRDefault="00661DE4" w:rsidP="00661DE4">
            <w:pPr>
              <w:cnfStyle w:val="000000000000" w:firstRow="0" w:lastRow="0" w:firstColumn="0" w:lastColumn="0" w:oddVBand="0" w:evenVBand="0" w:oddHBand="0" w:evenHBand="0" w:firstRowFirstColumn="0" w:firstRowLastColumn="0" w:lastRowFirstColumn="0" w:lastRowLastColumn="0"/>
            </w:pPr>
          </w:p>
          <w:p w14:paraId="1C3E7CB9" w14:textId="77777777" w:rsidR="00661DE4" w:rsidRPr="00803A73" w:rsidRDefault="00661DE4" w:rsidP="00661DE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3.2 </w:t>
            </w:r>
            <w:r w:rsidRPr="00803A73">
              <w:rPr>
                <w:rFonts w:cstheme="minorHAnsi"/>
              </w:rPr>
              <w:t>Work collaboratively with peak associations/bodies to advocate for the banning of gaming or gambling-like games available to children that introduce and normalise gambling at gaming venues, at retail outlets and via online games.</w:t>
            </w:r>
          </w:p>
          <w:p w14:paraId="244388A5" w14:textId="77777777" w:rsidR="00661DE4" w:rsidRPr="00894F6F" w:rsidRDefault="00661DE4" w:rsidP="00661DE4">
            <w:pPr>
              <w:pStyle w:val="ListParagraph"/>
              <w:ind w:left="1080"/>
              <w:cnfStyle w:val="000000000000" w:firstRow="0" w:lastRow="0" w:firstColumn="0" w:lastColumn="0" w:oddVBand="0" w:evenVBand="0" w:oddHBand="0" w:evenHBand="0" w:firstRowFirstColumn="0" w:firstRowLastColumn="0" w:lastRowFirstColumn="0" w:lastRowLastColumn="0"/>
              <w:rPr>
                <w:rFonts w:cstheme="minorHAnsi"/>
              </w:rPr>
            </w:pPr>
          </w:p>
          <w:p w14:paraId="4DDDE7B3" w14:textId="77777777" w:rsidR="00661DE4" w:rsidRPr="00A11DF2" w:rsidRDefault="00661DE4" w:rsidP="00661DE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3.3</w:t>
            </w:r>
            <w:r w:rsidRPr="00A11DF2">
              <w:rPr>
                <w:rFonts w:cstheme="minorHAnsi"/>
              </w:rPr>
              <w:t>Partner with the Alliance for Gambling Reform to advocate</w:t>
            </w:r>
            <w:r>
              <w:rPr>
                <w:rFonts w:cstheme="minorHAnsi"/>
              </w:rPr>
              <w:t xml:space="preserve"> for</w:t>
            </w:r>
            <w:r w:rsidRPr="00A11DF2">
              <w:rPr>
                <w:rFonts w:cstheme="minorHAnsi"/>
              </w:rPr>
              <w:t xml:space="preserve">  </w:t>
            </w:r>
          </w:p>
          <w:p w14:paraId="550E9BFD" w14:textId="77777777" w:rsidR="00661DE4" w:rsidRPr="00A11DF2" w:rsidRDefault="00661DE4" w:rsidP="00661DE4">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A11DF2">
              <w:rPr>
                <w:rFonts w:cstheme="minorHAnsi"/>
              </w:rPr>
              <w:t>the reduction and removal of gambling and betting advertisements on television and radio at sporting events, on sports programs.</w:t>
            </w:r>
          </w:p>
          <w:p w14:paraId="2C830A35" w14:textId="77777777" w:rsidR="00661DE4" w:rsidRPr="00A11DF2" w:rsidRDefault="00661DE4" w:rsidP="00661DE4">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A11DF2">
              <w:rPr>
                <w:rFonts w:cstheme="minorHAnsi"/>
              </w:rPr>
              <w:t>increased research</w:t>
            </w:r>
            <w:r>
              <w:rPr>
                <w:rFonts w:cstheme="minorHAnsi"/>
              </w:rPr>
              <w:t xml:space="preserve"> and</w:t>
            </w:r>
            <w:r w:rsidRPr="00A11DF2">
              <w:rPr>
                <w:rFonts w:cstheme="minorHAnsi"/>
              </w:rPr>
              <w:t xml:space="preserve"> data collection</w:t>
            </w:r>
            <w:r>
              <w:rPr>
                <w:rFonts w:cstheme="minorHAnsi"/>
              </w:rPr>
              <w:t xml:space="preserve"> (available at a Local Government level)</w:t>
            </w:r>
            <w:r w:rsidRPr="00A11DF2">
              <w:rPr>
                <w:rFonts w:cstheme="minorHAnsi"/>
              </w:rPr>
              <w:t>, regulation and preventative interventions for onl</w:t>
            </w:r>
            <w:r>
              <w:rPr>
                <w:rFonts w:cstheme="minorHAnsi"/>
              </w:rPr>
              <w:t>ine and sports betting gambling.</w:t>
            </w:r>
          </w:p>
        </w:tc>
        <w:tc>
          <w:tcPr>
            <w:tcW w:w="1195" w:type="dxa"/>
          </w:tcPr>
          <w:p w14:paraId="3A2B702A" w14:textId="77777777" w:rsidR="00661DE4" w:rsidRPr="00894F6F" w:rsidRDefault="00661DE4" w:rsidP="00661DE4">
            <w:pPr>
              <w:cnfStyle w:val="000000000000" w:firstRow="0" w:lastRow="0" w:firstColumn="0" w:lastColumn="0" w:oddVBand="0" w:evenVBand="0" w:oddHBand="0" w:evenHBand="0" w:firstRowFirstColumn="0" w:firstRowLastColumn="0" w:lastRowFirstColumn="0" w:lastRowLastColumn="0"/>
            </w:pPr>
            <w:r>
              <w:t>Ongoing</w:t>
            </w:r>
          </w:p>
          <w:p w14:paraId="2F7ADE17" w14:textId="77777777" w:rsidR="00661DE4" w:rsidRPr="00894F6F" w:rsidRDefault="00661DE4" w:rsidP="00661DE4">
            <w:pPr>
              <w:cnfStyle w:val="000000000000" w:firstRow="0" w:lastRow="0" w:firstColumn="0" w:lastColumn="0" w:oddVBand="0" w:evenVBand="0" w:oddHBand="0" w:evenHBand="0" w:firstRowFirstColumn="0" w:firstRowLastColumn="0" w:lastRowFirstColumn="0" w:lastRowLastColumn="0"/>
            </w:pPr>
          </w:p>
          <w:p w14:paraId="17A6E23D" w14:textId="77777777" w:rsidR="00661DE4" w:rsidRDefault="00661DE4" w:rsidP="00661DE4">
            <w:pPr>
              <w:cnfStyle w:val="000000000000" w:firstRow="0" w:lastRow="0" w:firstColumn="0" w:lastColumn="0" w:oddVBand="0" w:evenVBand="0" w:oddHBand="0" w:evenHBand="0" w:firstRowFirstColumn="0" w:firstRowLastColumn="0" w:lastRowFirstColumn="0" w:lastRowLastColumn="0"/>
            </w:pPr>
          </w:p>
          <w:p w14:paraId="7841F561" w14:textId="77777777" w:rsidR="00661DE4" w:rsidRDefault="00661DE4" w:rsidP="00661DE4">
            <w:pPr>
              <w:cnfStyle w:val="000000000000" w:firstRow="0" w:lastRow="0" w:firstColumn="0" w:lastColumn="0" w:oddVBand="0" w:evenVBand="0" w:oddHBand="0" w:evenHBand="0" w:firstRowFirstColumn="0" w:firstRowLastColumn="0" w:lastRowFirstColumn="0" w:lastRowLastColumn="0"/>
            </w:pPr>
          </w:p>
          <w:p w14:paraId="156F856C" w14:textId="77777777" w:rsidR="00661DE4" w:rsidRPr="00894F6F" w:rsidRDefault="00661DE4" w:rsidP="00661DE4">
            <w:pPr>
              <w:cnfStyle w:val="000000000000" w:firstRow="0" w:lastRow="0" w:firstColumn="0" w:lastColumn="0" w:oddVBand="0" w:evenVBand="0" w:oddHBand="0" w:evenHBand="0" w:firstRowFirstColumn="0" w:firstRowLastColumn="0" w:lastRowFirstColumn="0" w:lastRowLastColumn="0"/>
            </w:pPr>
            <w:r w:rsidRPr="00894F6F">
              <w:t>Medium-term</w:t>
            </w:r>
          </w:p>
          <w:p w14:paraId="725E4B62" w14:textId="77777777" w:rsidR="00661DE4" w:rsidRDefault="00661DE4" w:rsidP="00661DE4">
            <w:pPr>
              <w:cnfStyle w:val="000000000000" w:firstRow="0" w:lastRow="0" w:firstColumn="0" w:lastColumn="0" w:oddVBand="0" w:evenVBand="0" w:oddHBand="0" w:evenHBand="0" w:firstRowFirstColumn="0" w:firstRowLastColumn="0" w:lastRowFirstColumn="0" w:lastRowLastColumn="0"/>
            </w:pPr>
          </w:p>
          <w:p w14:paraId="267EF5ED" w14:textId="77777777" w:rsidR="00661DE4" w:rsidRPr="00894F6F" w:rsidRDefault="00661DE4" w:rsidP="00661DE4">
            <w:pPr>
              <w:cnfStyle w:val="000000000000" w:firstRow="0" w:lastRow="0" w:firstColumn="0" w:lastColumn="0" w:oddVBand="0" w:evenVBand="0" w:oddHBand="0" w:evenHBand="0" w:firstRowFirstColumn="0" w:firstRowLastColumn="0" w:lastRowFirstColumn="0" w:lastRowLastColumn="0"/>
            </w:pPr>
          </w:p>
          <w:p w14:paraId="6FAD3A5E" w14:textId="77777777" w:rsidR="00661DE4" w:rsidRDefault="00661DE4" w:rsidP="00661DE4">
            <w:pPr>
              <w:cnfStyle w:val="000000000000" w:firstRow="0" w:lastRow="0" w:firstColumn="0" w:lastColumn="0" w:oddVBand="0" w:evenVBand="0" w:oddHBand="0" w:evenHBand="0" w:firstRowFirstColumn="0" w:firstRowLastColumn="0" w:lastRowFirstColumn="0" w:lastRowLastColumn="0"/>
            </w:pPr>
          </w:p>
          <w:p w14:paraId="63A52DF8" w14:textId="77777777" w:rsidR="00661DE4" w:rsidRDefault="00661DE4" w:rsidP="00661DE4">
            <w:pPr>
              <w:cnfStyle w:val="000000000000" w:firstRow="0" w:lastRow="0" w:firstColumn="0" w:lastColumn="0" w:oddVBand="0" w:evenVBand="0" w:oddHBand="0" w:evenHBand="0" w:firstRowFirstColumn="0" w:firstRowLastColumn="0" w:lastRowFirstColumn="0" w:lastRowLastColumn="0"/>
            </w:pPr>
          </w:p>
          <w:p w14:paraId="52E16CD1" w14:textId="77777777" w:rsidR="00661DE4" w:rsidRPr="00894F6F" w:rsidRDefault="00661DE4" w:rsidP="00661DE4">
            <w:pPr>
              <w:cnfStyle w:val="000000000000" w:firstRow="0" w:lastRow="0" w:firstColumn="0" w:lastColumn="0" w:oddVBand="0" w:evenVBand="0" w:oddHBand="0" w:evenHBand="0" w:firstRowFirstColumn="0" w:firstRowLastColumn="0" w:lastRowFirstColumn="0" w:lastRowLastColumn="0"/>
            </w:pPr>
            <w:r>
              <w:t>Medium term</w:t>
            </w:r>
          </w:p>
          <w:p w14:paraId="2D187315" w14:textId="77777777" w:rsidR="00661DE4" w:rsidRDefault="00661DE4" w:rsidP="00661DE4">
            <w:pPr>
              <w:cnfStyle w:val="000000000000" w:firstRow="0" w:lastRow="0" w:firstColumn="0" w:lastColumn="0" w:oddVBand="0" w:evenVBand="0" w:oddHBand="0" w:evenHBand="0" w:firstRowFirstColumn="0" w:firstRowLastColumn="0" w:lastRowFirstColumn="0" w:lastRowLastColumn="0"/>
            </w:pPr>
          </w:p>
          <w:p w14:paraId="1E03A859" w14:textId="77777777" w:rsidR="00661DE4" w:rsidRPr="00894F6F" w:rsidRDefault="00661DE4" w:rsidP="00661DE4">
            <w:pPr>
              <w:cnfStyle w:val="000000000000" w:firstRow="0" w:lastRow="0" w:firstColumn="0" w:lastColumn="0" w:oddVBand="0" w:evenVBand="0" w:oddHBand="0" w:evenHBand="0" w:firstRowFirstColumn="0" w:firstRowLastColumn="0" w:lastRowFirstColumn="0" w:lastRowLastColumn="0"/>
            </w:pPr>
            <w:r>
              <w:t>Medium term</w:t>
            </w:r>
          </w:p>
        </w:tc>
      </w:tr>
    </w:tbl>
    <w:p w14:paraId="7147B10B" w14:textId="77777777" w:rsidR="00661DE4" w:rsidRDefault="00661DE4" w:rsidP="00661DE4">
      <w:pPr>
        <w:rPr>
          <w:b/>
          <w:sz w:val="32"/>
          <w:szCs w:val="32"/>
        </w:rPr>
      </w:pPr>
    </w:p>
    <w:p w14:paraId="665FEA6E" w14:textId="77777777" w:rsidR="00661DE4" w:rsidRPr="00894F6F" w:rsidRDefault="00661DE4" w:rsidP="00661DE4">
      <w:pPr>
        <w:rPr>
          <w:b/>
          <w:sz w:val="32"/>
          <w:szCs w:val="32"/>
        </w:rPr>
      </w:pPr>
    </w:p>
    <w:tbl>
      <w:tblPr>
        <w:tblStyle w:val="GridTable5Dark-Accent4"/>
        <w:tblW w:w="0" w:type="auto"/>
        <w:tblLook w:val="04A0" w:firstRow="1" w:lastRow="0" w:firstColumn="1" w:lastColumn="0" w:noHBand="0" w:noVBand="1"/>
      </w:tblPr>
      <w:tblGrid>
        <w:gridCol w:w="2260"/>
        <w:gridCol w:w="3831"/>
        <w:gridCol w:w="6641"/>
        <w:gridCol w:w="1216"/>
      </w:tblGrid>
      <w:tr w:rsidR="00661DE4" w:rsidRPr="00894F6F" w14:paraId="199B8174" w14:textId="77777777" w:rsidTr="005862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4"/>
          </w:tcPr>
          <w:p w14:paraId="08B16C7C" w14:textId="77777777" w:rsidR="00661DE4" w:rsidRPr="00894F6F" w:rsidRDefault="00661DE4" w:rsidP="00661DE4">
            <w:pPr>
              <w:rPr>
                <w:b w:val="0"/>
                <w:sz w:val="32"/>
                <w:szCs w:val="32"/>
              </w:rPr>
            </w:pPr>
            <w:r w:rsidRPr="008547EC">
              <w:rPr>
                <w:b w:val="0"/>
                <w:sz w:val="32"/>
                <w:szCs w:val="32"/>
              </w:rPr>
              <w:t>Goal 2 To take a whole of organisation approach and partner with community in preventing and minimising gambling harm and promoting health and wellbeing.</w:t>
            </w:r>
          </w:p>
        </w:tc>
      </w:tr>
      <w:tr w:rsidR="00661DE4" w:rsidRPr="00894F6F" w14:paraId="72FB1312" w14:textId="77777777" w:rsidTr="00586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Pr>
          <w:p w14:paraId="7DC1FFA7" w14:textId="77777777" w:rsidR="00661DE4" w:rsidRPr="00894F6F" w:rsidRDefault="00661DE4" w:rsidP="00661DE4">
            <w:pPr>
              <w:rPr>
                <w:b w:val="0"/>
                <w:color w:val="000000" w:themeColor="text1"/>
              </w:rPr>
            </w:pPr>
          </w:p>
        </w:tc>
        <w:tc>
          <w:tcPr>
            <w:tcW w:w="3831" w:type="dxa"/>
          </w:tcPr>
          <w:p w14:paraId="16799292" w14:textId="77777777" w:rsidR="00661DE4" w:rsidRPr="00894F6F" w:rsidRDefault="00661DE4" w:rsidP="00661DE4">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Objective</w:t>
            </w:r>
          </w:p>
        </w:tc>
        <w:tc>
          <w:tcPr>
            <w:tcW w:w="6641" w:type="dxa"/>
          </w:tcPr>
          <w:p w14:paraId="50F8A9E7" w14:textId="77777777" w:rsidR="00661DE4" w:rsidRPr="00894F6F" w:rsidRDefault="00661DE4" w:rsidP="00661DE4">
            <w:pPr>
              <w:cnfStyle w:val="000000100000" w:firstRow="0" w:lastRow="0" w:firstColumn="0" w:lastColumn="0" w:oddVBand="0" w:evenVBand="0" w:oddHBand="1" w:evenHBand="0" w:firstRowFirstColumn="0" w:firstRowLastColumn="0" w:lastRowFirstColumn="0" w:lastRowLastColumn="0"/>
              <w:rPr>
                <w:color w:val="000000" w:themeColor="text1"/>
              </w:rPr>
            </w:pPr>
            <w:r w:rsidRPr="00894F6F">
              <w:rPr>
                <w:color w:val="000000" w:themeColor="text1"/>
              </w:rPr>
              <w:t>Action</w:t>
            </w:r>
          </w:p>
        </w:tc>
        <w:tc>
          <w:tcPr>
            <w:tcW w:w="1216" w:type="dxa"/>
          </w:tcPr>
          <w:p w14:paraId="6E9AEBF7" w14:textId="77777777" w:rsidR="00661DE4" w:rsidRDefault="00661DE4" w:rsidP="00661DE4">
            <w:pPr>
              <w:cnfStyle w:val="000000100000" w:firstRow="0" w:lastRow="0" w:firstColumn="0" w:lastColumn="0" w:oddVBand="0" w:evenVBand="0" w:oddHBand="1" w:evenHBand="0" w:firstRowFirstColumn="0" w:firstRowLastColumn="0" w:lastRowFirstColumn="0" w:lastRowLastColumn="0"/>
              <w:rPr>
                <w:color w:val="000000" w:themeColor="text1"/>
              </w:rPr>
            </w:pPr>
            <w:r w:rsidRPr="00894F6F">
              <w:rPr>
                <w:color w:val="000000" w:themeColor="text1"/>
              </w:rPr>
              <w:t>Timing</w:t>
            </w:r>
          </w:p>
          <w:p w14:paraId="485B55E5" w14:textId="77777777" w:rsidR="00661DE4" w:rsidRPr="00894F6F" w:rsidRDefault="00661DE4" w:rsidP="00661DE4">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661DE4" w:rsidRPr="00894F6F" w14:paraId="43C03B31" w14:textId="77777777" w:rsidTr="005862F2">
        <w:tc>
          <w:tcPr>
            <w:cnfStyle w:val="001000000000" w:firstRow="0" w:lastRow="0" w:firstColumn="1" w:lastColumn="0" w:oddVBand="0" w:evenVBand="0" w:oddHBand="0" w:evenHBand="0" w:firstRowFirstColumn="0" w:firstRowLastColumn="0" w:lastRowFirstColumn="0" w:lastRowLastColumn="0"/>
            <w:tcW w:w="2260" w:type="dxa"/>
          </w:tcPr>
          <w:p w14:paraId="2517946C" w14:textId="77777777" w:rsidR="00661DE4" w:rsidRPr="00894F6F" w:rsidRDefault="00661DE4" w:rsidP="00661DE4">
            <w:pPr>
              <w:rPr>
                <w:rFonts w:cstheme="minorHAnsi"/>
                <w:b w:val="0"/>
              </w:rPr>
            </w:pPr>
          </w:p>
        </w:tc>
        <w:tc>
          <w:tcPr>
            <w:tcW w:w="3831" w:type="dxa"/>
          </w:tcPr>
          <w:p w14:paraId="14A5C8E1" w14:textId="77777777" w:rsidR="00661DE4" w:rsidRPr="00852093" w:rsidRDefault="00661DE4" w:rsidP="00661DE4">
            <w:pPr>
              <w:cnfStyle w:val="000000000000" w:firstRow="0" w:lastRow="0" w:firstColumn="0" w:lastColumn="0" w:oddVBand="0" w:evenVBand="0" w:oddHBand="0" w:evenHBand="0" w:firstRowFirstColumn="0" w:firstRowLastColumn="0" w:lastRowFirstColumn="0" w:lastRowLastColumn="0"/>
            </w:pPr>
            <w:r w:rsidRPr="00852093">
              <w:t>4.To ensure Council policies and strategies consistently support the reduction of gambling-related harm.</w:t>
            </w:r>
          </w:p>
          <w:p w14:paraId="37182AD1" w14:textId="77777777" w:rsidR="00661DE4" w:rsidRPr="00B40227" w:rsidRDefault="00661DE4" w:rsidP="00661DE4">
            <w:pPr>
              <w:cnfStyle w:val="000000000000" w:firstRow="0" w:lastRow="0" w:firstColumn="0" w:lastColumn="0" w:oddVBand="0" w:evenVBand="0" w:oddHBand="0" w:evenHBand="0" w:firstRowFirstColumn="0" w:firstRowLastColumn="0" w:lastRowFirstColumn="0" w:lastRowLastColumn="0"/>
              <w:rPr>
                <w:rFonts w:cstheme="minorHAnsi"/>
              </w:rPr>
            </w:pPr>
          </w:p>
        </w:tc>
        <w:tc>
          <w:tcPr>
            <w:tcW w:w="6641" w:type="dxa"/>
          </w:tcPr>
          <w:p w14:paraId="352F6DEA" w14:textId="77777777" w:rsidR="00661DE4" w:rsidRPr="00891B7D" w:rsidRDefault="00661DE4" w:rsidP="00661DE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4.1 </w:t>
            </w:r>
            <w:r w:rsidRPr="00891B7D">
              <w:rPr>
                <w:rFonts w:cstheme="minorHAnsi"/>
              </w:rPr>
              <w:t>Review existing Council policies, strategies and action plans to support and enhance a consistent and integrated Council response to reducing gambling related harm.</w:t>
            </w:r>
          </w:p>
          <w:p w14:paraId="7798899D" w14:textId="77777777" w:rsidR="00661DE4" w:rsidRPr="00891B7D" w:rsidRDefault="00661DE4" w:rsidP="00661DE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4.2 </w:t>
            </w:r>
            <w:r w:rsidRPr="00891B7D">
              <w:rPr>
                <w:rFonts w:cstheme="minorHAnsi"/>
              </w:rPr>
              <w:t xml:space="preserve">Review Council’s sponsorship policies taking into consideration receipt of sponsorship from organisations/businesses that derive a </w:t>
            </w:r>
            <w:r w:rsidRPr="00891B7D">
              <w:rPr>
                <w:rFonts w:cstheme="minorHAnsi"/>
              </w:rPr>
              <w:lastRenderedPageBreak/>
              <w:t xml:space="preserve">substantial proportion of their income from gambling and the programs, activities and initiatives. </w:t>
            </w:r>
          </w:p>
        </w:tc>
        <w:tc>
          <w:tcPr>
            <w:tcW w:w="1216" w:type="dxa"/>
          </w:tcPr>
          <w:p w14:paraId="31E4438C" w14:textId="77777777" w:rsidR="00661DE4" w:rsidRPr="00894F6F" w:rsidRDefault="00661DE4" w:rsidP="00661DE4">
            <w:pPr>
              <w:cnfStyle w:val="000000000000" w:firstRow="0" w:lastRow="0" w:firstColumn="0" w:lastColumn="0" w:oddVBand="0" w:evenVBand="0" w:oddHBand="0" w:evenHBand="0" w:firstRowFirstColumn="0" w:firstRowLastColumn="0" w:lastRowFirstColumn="0" w:lastRowLastColumn="0"/>
              <w:rPr>
                <w:rFonts w:cstheme="minorHAnsi"/>
              </w:rPr>
            </w:pPr>
            <w:r w:rsidRPr="00894F6F">
              <w:rPr>
                <w:rFonts w:cstheme="minorHAnsi"/>
              </w:rPr>
              <w:lastRenderedPageBreak/>
              <w:t>Short-term</w:t>
            </w:r>
          </w:p>
          <w:p w14:paraId="1D0020E9" w14:textId="77777777" w:rsidR="00661DE4" w:rsidRDefault="00661DE4" w:rsidP="00661DE4">
            <w:pPr>
              <w:cnfStyle w:val="000000000000" w:firstRow="0" w:lastRow="0" w:firstColumn="0" w:lastColumn="0" w:oddVBand="0" w:evenVBand="0" w:oddHBand="0" w:evenHBand="0" w:firstRowFirstColumn="0" w:firstRowLastColumn="0" w:lastRowFirstColumn="0" w:lastRowLastColumn="0"/>
              <w:rPr>
                <w:rFonts w:cstheme="minorHAnsi"/>
              </w:rPr>
            </w:pPr>
          </w:p>
          <w:p w14:paraId="28FB5653" w14:textId="77777777" w:rsidR="00661DE4" w:rsidRDefault="00661DE4" w:rsidP="00661DE4">
            <w:pPr>
              <w:cnfStyle w:val="000000000000" w:firstRow="0" w:lastRow="0" w:firstColumn="0" w:lastColumn="0" w:oddVBand="0" w:evenVBand="0" w:oddHBand="0" w:evenHBand="0" w:firstRowFirstColumn="0" w:firstRowLastColumn="0" w:lastRowFirstColumn="0" w:lastRowLastColumn="0"/>
              <w:rPr>
                <w:rFonts w:cstheme="minorHAnsi"/>
              </w:rPr>
            </w:pPr>
          </w:p>
          <w:p w14:paraId="4D2B7329" w14:textId="77777777" w:rsidR="00661DE4" w:rsidRPr="00894F6F" w:rsidRDefault="00661DE4" w:rsidP="00661DE4">
            <w:pPr>
              <w:cnfStyle w:val="000000000000" w:firstRow="0" w:lastRow="0" w:firstColumn="0" w:lastColumn="0" w:oddVBand="0" w:evenVBand="0" w:oddHBand="0" w:evenHBand="0" w:firstRowFirstColumn="0" w:firstRowLastColumn="0" w:lastRowFirstColumn="0" w:lastRowLastColumn="0"/>
              <w:rPr>
                <w:rFonts w:cstheme="minorHAnsi"/>
              </w:rPr>
            </w:pPr>
            <w:r w:rsidRPr="00894F6F">
              <w:rPr>
                <w:rFonts w:cstheme="minorHAnsi"/>
              </w:rPr>
              <w:t>Short-term</w:t>
            </w:r>
          </w:p>
          <w:p w14:paraId="16EDD0E7" w14:textId="77777777" w:rsidR="00661DE4" w:rsidRPr="00894F6F" w:rsidRDefault="00661DE4" w:rsidP="00661DE4">
            <w:pPr>
              <w:jc w:val="center"/>
              <w:cnfStyle w:val="000000000000" w:firstRow="0" w:lastRow="0" w:firstColumn="0" w:lastColumn="0" w:oddVBand="0" w:evenVBand="0" w:oddHBand="0" w:evenHBand="0" w:firstRowFirstColumn="0" w:firstRowLastColumn="0" w:lastRowFirstColumn="0" w:lastRowLastColumn="0"/>
              <w:rPr>
                <w:rFonts w:cstheme="minorHAnsi"/>
                <w:b/>
              </w:rPr>
            </w:pPr>
          </w:p>
          <w:p w14:paraId="3C73DBB3" w14:textId="77777777" w:rsidR="00661DE4" w:rsidRPr="00894F6F" w:rsidRDefault="00661DE4" w:rsidP="00661DE4">
            <w:pPr>
              <w:jc w:val="center"/>
              <w:cnfStyle w:val="000000000000" w:firstRow="0" w:lastRow="0" w:firstColumn="0" w:lastColumn="0" w:oddVBand="0" w:evenVBand="0" w:oddHBand="0" w:evenHBand="0" w:firstRowFirstColumn="0" w:firstRowLastColumn="0" w:lastRowFirstColumn="0" w:lastRowLastColumn="0"/>
              <w:rPr>
                <w:rFonts w:cstheme="minorHAnsi"/>
                <w:b/>
              </w:rPr>
            </w:pPr>
          </w:p>
        </w:tc>
      </w:tr>
      <w:tr w:rsidR="00661DE4" w:rsidRPr="00894F6F" w14:paraId="20DE280C" w14:textId="77777777" w:rsidTr="00586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Pr>
          <w:p w14:paraId="40ABA67C" w14:textId="77777777" w:rsidR="00661DE4" w:rsidRPr="00894F6F" w:rsidRDefault="00661DE4" w:rsidP="00661DE4">
            <w:pPr>
              <w:rPr>
                <w:rFonts w:cstheme="minorHAnsi"/>
              </w:rPr>
            </w:pPr>
          </w:p>
        </w:tc>
        <w:tc>
          <w:tcPr>
            <w:tcW w:w="3831" w:type="dxa"/>
          </w:tcPr>
          <w:p w14:paraId="141EBB2A" w14:textId="77777777" w:rsidR="00661DE4" w:rsidRPr="00B40227" w:rsidRDefault="00661DE4" w:rsidP="00661DE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5. </w:t>
            </w:r>
            <w:r w:rsidRPr="00B40227">
              <w:rPr>
                <w:rFonts w:cstheme="minorHAnsi"/>
              </w:rPr>
              <w:t>To restrict the use of Council’s resources and f</w:t>
            </w:r>
            <w:r>
              <w:rPr>
                <w:rFonts w:cstheme="minorHAnsi"/>
              </w:rPr>
              <w:t xml:space="preserve">acilities for </w:t>
            </w:r>
            <w:r w:rsidRPr="00B40227">
              <w:rPr>
                <w:rFonts w:cstheme="minorHAnsi"/>
              </w:rPr>
              <w:t>the purpose of engaging in, or promoting, all forms of gambling.</w:t>
            </w:r>
          </w:p>
          <w:p w14:paraId="79FF051C" w14:textId="77777777" w:rsidR="00661DE4" w:rsidRPr="00894F6F" w:rsidRDefault="00661DE4" w:rsidP="00661DE4">
            <w:pPr>
              <w:pStyle w:val="ListParagraph"/>
              <w:ind w:left="1080"/>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6641" w:type="dxa"/>
          </w:tcPr>
          <w:p w14:paraId="4773EE9E" w14:textId="77777777" w:rsidR="00661DE4" w:rsidRPr="00894F6F" w:rsidRDefault="00661DE4" w:rsidP="00661DE4">
            <w:pPr>
              <w:pStyle w:val="Heading1"/>
              <w:spacing w:befor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 xml:space="preserve">5.1 </w:t>
            </w:r>
            <w:r w:rsidRPr="00894F6F">
              <w:rPr>
                <w:rFonts w:asciiTheme="minorHAnsi" w:hAnsiTheme="minorHAnsi" w:cstheme="minorHAnsi"/>
                <w:color w:val="auto"/>
                <w:sz w:val="22"/>
                <w:szCs w:val="22"/>
              </w:rPr>
              <w:t>Review all relevant guidelines, policies and procedures to ensure they explicitly prohibit:</w:t>
            </w:r>
          </w:p>
          <w:p w14:paraId="45960F85" w14:textId="77777777" w:rsidR="00661DE4" w:rsidRPr="00894F6F" w:rsidRDefault="00661DE4" w:rsidP="00661DE4">
            <w:pPr>
              <w:pStyle w:val="Heading1"/>
              <w:numPr>
                <w:ilvl w:val="0"/>
                <w:numId w:val="5"/>
              </w:numPr>
              <w:spacing w:before="0"/>
              <w:ind w:left="1452" w:hanging="283"/>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894F6F">
              <w:rPr>
                <w:rFonts w:asciiTheme="minorHAnsi" w:hAnsiTheme="minorHAnsi" w:cstheme="minorHAnsi"/>
                <w:color w:val="auto"/>
                <w:sz w:val="22"/>
                <w:szCs w:val="22"/>
              </w:rPr>
              <w:t xml:space="preserve">Council support for any </w:t>
            </w:r>
            <w:r>
              <w:rPr>
                <w:rFonts w:asciiTheme="minorHAnsi" w:hAnsiTheme="minorHAnsi" w:cstheme="minorHAnsi"/>
                <w:color w:val="auto"/>
                <w:sz w:val="22"/>
                <w:szCs w:val="22"/>
              </w:rPr>
              <w:t xml:space="preserve">new </w:t>
            </w:r>
            <w:r w:rsidRPr="00894F6F">
              <w:rPr>
                <w:rFonts w:asciiTheme="minorHAnsi" w:hAnsiTheme="minorHAnsi" w:cstheme="minorHAnsi"/>
                <w:color w:val="auto"/>
                <w:sz w:val="22"/>
                <w:szCs w:val="22"/>
              </w:rPr>
              <w:t>application for EGMs on Council-owned or managed land;</w:t>
            </w:r>
          </w:p>
          <w:p w14:paraId="28DE3F47" w14:textId="77777777" w:rsidR="00661DE4" w:rsidRPr="00894F6F" w:rsidRDefault="00661DE4" w:rsidP="00661DE4">
            <w:pPr>
              <w:pStyle w:val="Heading1"/>
              <w:numPr>
                <w:ilvl w:val="0"/>
                <w:numId w:val="4"/>
              </w:numPr>
              <w:spacing w:before="0"/>
              <w:ind w:left="1452" w:hanging="283"/>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894F6F">
              <w:rPr>
                <w:rFonts w:asciiTheme="minorHAnsi" w:hAnsiTheme="minorHAnsi" w:cstheme="minorHAnsi"/>
                <w:color w:val="auto"/>
                <w:sz w:val="22"/>
                <w:szCs w:val="22"/>
              </w:rPr>
              <w:t>Gambling activity, promotion or advertising on Council-owned facilities</w:t>
            </w:r>
            <w:r>
              <w:rPr>
                <w:rFonts w:asciiTheme="minorHAnsi" w:hAnsiTheme="minorHAnsi" w:cstheme="minorHAnsi"/>
                <w:color w:val="auto"/>
                <w:sz w:val="22"/>
                <w:szCs w:val="22"/>
              </w:rPr>
              <w:t>. This pertains to online sports betting, online gambling and EGMs</w:t>
            </w:r>
            <w:r w:rsidRPr="00894F6F">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p>
          <w:p w14:paraId="712E5816" w14:textId="77777777" w:rsidR="00661DE4" w:rsidRPr="00894F6F" w:rsidRDefault="00661DE4" w:rsidP="00661DE4">
            <w:pPr>
              <w:pStyle w:val="Heading1"/>
              <w:numPr>
                <w:ilvl w:val="0"/>
                <w:numId w:val="4"/>
              </w:numPr>
              <w:spacing w:before="0"/>
              <w:ind w:left="1452" w:hanging="283"/>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894F6F">
              <w:rPr>
                <w:rFonts w:asciiTheme="minorHAnsi" w:hAnsiTheme="minorHAnsi" w:cstheme="minorHAnsi"/>
                <w:color w:val="auto"/>
                <w:sz w:val="22"/>
                <w:szCs w:val="22"/>
              </w:rPr>
              <w:t>Access to online gambling on Council-owned internet access points;</w:t>
            </w:r>
          </w:p>
          <w:p w14:paraId="19F64745" w14:textId="77777777" w:rsidR="00661DE4" w:rsidRPr="00894F6F" w:rsidRDefault="00661DE4" w:rsidP="00661DE4">
            <w:pPr>
              <w:pStyle w:val="Heading1"/>
              <w:numPr>
                <w:ilvl w:val="0"/>
                <w:numId w:val="4"/>
              </w:numPr>
              <w:spacing w:before="0"/>
              <w:ind w:left="1452" w:hanging="283"/>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894F6F">
              <w:rPr>
                <w:rFonts w:asciiTheme="minorHAnsi" w:hAnsiTheme="minorHAnsi" w:cstheme="minorHAnsi"/>
                <w:color w:val="auto"/>
                <w:sz w:val="22"/>
                <w:szCs w:val="22"/>
              </w:rPr>
              <w:t>Funding, grants, sponsorship or other resources for activities that promote gambling; and</w:t>
            </w:r>
          </w:p>
          <w:p w14:paraId="1818DE89" w14:textId="77777777" w:rsidR="00661DE4" w:rsidRPr="00894F6F" w:rsidRDefault="00661DE4" w:rsidP="00661DE4">
            <w:pPr>
              <w:pStyle w:val="Heading1"/>
              <w:numPr>
                <w:ilvl w:val="0"/>
                <w:numId w:val="4"/>
              </w:numPr>
              <w:spacing w:before="0"/>
              <w:ind w:left="1452" w:hanging="283"/>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894F6F">
              <w:rPr>
                <w:rFonts w:asciiTheme="minorHAnsi" w:hAnsiTheme="minorHAnsi" w:cstheme="minorHAnsi"/>
                <w:color w:val="auto"/>
                <w:sz w:val="22"/>
                <w:szCs w:val="22"/>
              </w:rPr>
              <w:t>Council staff running events, activities, programs and social outings in venues that have EGMs.</w:t>
            </w:r>
          </w:p>
          <w:p w14:paraId="0D1DF7A7" w14:textId="77777777" w:rsidR="00661DE4" w:rsidRPr="00B40227" w:rsidRDefault="00661DE4" w:rsidP="00661DE4">
            <w:pPr>
              <w:pStyle w:val="ListParagraph"/>
              <w:numPr>
                <w:ilvl w:val="1"/>
                <w:numId w:val="17"/>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B40227">
              <w:rPr>
                <w:rFonts w:cstheme="minorHAnsi"/>
              </w:rPr>
              <w:t>Investigate software filtering options to prevent access to online gambling sites at Council provided, supported or sponsored internet access points</w:t>
            </w:r>
            <w:r>
              <w:rPr>
                <w:rFonts w:cstheme="minorHAnsi"/>
              </w:rPr>
              <w:t>.</w:t>
            </w:r>
          </w:p>
          <w:p w14:paraId="51B278E4" w14:textId="77777777" w:rsidR="00661DE4" w:rsidRPr="00891B7D" w:rsidRDefault="00661DE4" w:rsidP="00661DE4">
            <w:pPr>
              <w:ind w:left="360"/>
              <w:cnfStyle w:val="000000100000" w:firstRow="0" w:lastRow="0" w:firstColumn="0" w:lastColumn="0" w:oddVBand="0" w:evenVBand="0" w:oddHBand="1" w:evenHBand="0" w:firstRowFirstColumn="0" w:firstRowLastColumn="0" w:lastRowFirstColumn="0" w:lastRowLastColumn="0"/>
              <w:rPr>
                <w:rFonts w:cstheme="minorHAnsi"/>
              </w:rPr>
            </w:pPr>
          </w:p>
        </w:tc>
        <w:tc>
          <w:tcPr>
            <w:tcW w:w="1216" w:type="dxa"/>
          </w:tcPr>
          <w:p w14:paraId="46D497A6" w14:textId="77777777" w:rsidR="00661DE4" w:rsidRPr="00894F6F" w:rsidRDefault="00661DE4" w:rsidP="00661DE4">
            <w:pPr>
              <w:cnfStyle w:val="000000100000" w:firstRow="0" w:lastRow="0" w:firstColumn="0" w:lastColumn="0" w:oddVBand="0" w:evenVBand="0" w:oddHBand="1" w:evenHBand="0" w:firstRowFirstColumn="0" w:firstRowLastColumn="0" w:lastRowFirstColumn="0" w:lastRowLastColumn="0"/>
              <w:rPr>
                <w:rFonts w:cstheme="minorHAnsi"/>
              </w:rPr>
            </w:pPr>
            <w:r w:rsidRPr="00894F6F">
              <w:rPr>
                <w:rFonts w:cstheme="minorHAnsi"/>
              </w:rPr>
              <w:t>Short-term</w:t>
            </w:r>
          </w:p>
          <w:p w14:paraId="64CA8675" w14:textId="77777777" w:rsidR="00661DE4" w:rsidRPr="00894F6F" w:rsidRDefault="00661DE4" w:rsidP="00661DE4">
            <w:pPr>
              <w:cnfStyle w:val="000000100000" w:firstRow="0" w:lastRow="0" w:firstColumn="0" w:lastColumn="0" w:oddVBand="0" w:evenVBand="0" w:oddHBand="1" w:evenHBand="0" w:firstRowFirstColumn="0" w:firstRowLastColumn="0" w:lastRowFirstColumn="0" w:lastRowLastColumn="0"/>
              <w:rPr>
                <w:rFonts w:cstheme="minorHAnsi"/>
              </w:rPr>
            </w:pPr>
          </w:p>
          <w:p w14:paraId="48951776" w14:textId="77777777" w:rsidR="00661DE4" w:rsidRPr="00894F6F" w:rsidRDefault="00661DE4" w:rsidP="00661DE4">
            <w:pPr>
              <w:cnfStyle w:val="000000100000" w:firstRow="0" w:lastRow="0" w:firstColumn="0" w:lastColumn="0" w:oddVBand="0" w:evenVBand="0" w:oddHBand="1" w:evenHBand="0" w:firstRowFirstColumn="0" w:firstRowLastColumn="0" w:lastRowFirstColumn="0" w:lastRowLastColumn="0"/>
              <w:rPr>
                <w:rFonts w:cstheme="minorHAnsi"/>
              </w:rPr>
            </w:pPr>
          </w:p>
          <w:p w14:paraId="1AB1E55B" w14:textId="77777777" w:rsidR="00661DE4" w:rsidRPr="00894F6F" w:rsidRDefault="00661DE4" w:rsidP="00661DE4">
            <w:pPr>
              <w:cnfStyle w:val="000000100000" w:firstRow="0" w:lastRow="0" w:firstColumn="0" w:lastColumn="0" w:oddVBand="0" w:evenVBand="0" w:oddHBand="1" w:evenHBand="0" w:firstRowFirstColumn="0" w:firstRowLastColumn="0" w:lastRowFirstColumn="0" w:lastRowLastColumn="0"/>
              <w:rPr>
                <w:rFonts w:cstheme="minorHAnsi"/>
              </w:rPr>
            </w:pPr>
          </w:p>
          <w:p w14:paraId="35B8A595" w14:textId="77777777" w:rsidR="00661DE4" w:rsidRPr="00894F6F" w:rsidRDefault="00661DE4" w:rsidP="00661DE4">
            <w:pPr>
              <w:cnfStyle w:val="000000100000" w:firstRow="0" w:lastRow="0" w:firstColumn="0" w:lastColumn="0" w:oddVBand="0" w:evenVBand="0" w:oddHBand="1" w:evenHBand="0" w:firstRowFirstColumn="0" w:firstRowLastColumn="0" w:lastRowFirstColumn="0" w:lastRowLastColumn="0"/>
              <w:rPr>
                <w:rFonts w:cstheme="minorHAnsi"/>
              </w:rPr>
            </w:pPr>
          </w:p>
          <w:p w14:paraId="07B51096" w14:textId="77777777" w:rsidR="00661DE4" w:rsidRPr="00894F6F" w:rsidRDefault="00661DE4" w:rsidP="00661DE4">
            <w:pPr>
              <w:cnfStyle w:val="000000100000" w:firstRow="0" w:lastRow="0" w:firstColumn="0" w:lastColumn="0" w:oddVBand="0" w:evenVBand="0" w:oddHBand="1" w:evenHBand="0" w:firstRowFirstColumn="0" w:firstRowLastColumn="0" w:lastRowFirstColumn="0" w:lastRowLastColumn="0"/>
              <w:rPr>
                <w:rFonts w:cstheme="minorHAnsi"/>
              </w:rPr>
            </w:pPr>
          </w:p>
          <w:p w14:paraId="4849FA99" w14:textId="77777777" w:rsidR="00661DE4" w:rsidRPr="00894F6F" w:rsidRDefault="00661DE4" w:rsidP="00661DE4">
            <w:pPr>
              <w:cnfStyle w:val="000000100000" w:firstRow="0" w:lastRow="0" w:firstColumn="0" w:lastColumn="0" w:oddVBand="0" w:evenVBand="0" w:oddHBand="1" w:evenHBand="0" w:firstRowFirstColumn="0" w:firstRowLastColumn="0" w:lastRowFirstColumn="0" w:lastRowLastColumn="0"/>
              <w:rPr>
                <w:rFonts w:cstheme="minorHAnsi"/>
              </w:rPr>
            </w:pPr>
          </w:p>
          <w:p w14:paraId="591F8A96" w14:textId="77777777" w:rsidR="00661DE4" w:rsidRDefault="00661DE4" w:rsidP="00661DE4">
            <w:pPr>
              <w:cnfStyle w:val="000000100000" w:firstRow="0" w:lastRow="0" w:firstColumn="0" w:lastColumn="0" w:oddVBand="0" w:evenVBand="0" w:oddHBand="1" w:evenHBand="0" w:firstRowFirstColumn="0" w:firstRowLastColumn="0" w:lastRowFirstColumn="0" w:lastRowLastColumn="0"/>
              <w:rPr>
                <w:rFonts w:cstheme="minorHAnsi"/>
              </w:rPr>
            </w:pPr>
          </w:p>
          <w:p w14:paraId="2A146F84" w14:textId="77777777" w:rsidR="00661DE4" w:rsidRDefault="00661DE4" w:rsidP="00661DE4">
            <w:pPr>
              <w:cnfStyle w:val="000000100000" w:firstRow="0" w:lastRow="0" w:firstColumn="0" w:lastColumn="0" w:oddVBand="0" w:evenVBand="0" w:oddHBand="1" w:evenHBand="0" w:firstRowFirstColumn="0" w:firstRowLastColumn="0" w:lastRowFirstColumn="0" w:lastRowLastColumn="0"/>
              <w:rPr>
                <w:rFonts w:cstheme="minorHAnsi"/>
              </w:rPr>
            </w:pPr>
          </w:p>
          <w:p w14:paraId="6D06D851" w14:textId="77777777" w:rsidR="00661DE4" w:rsidRDefault="00661DE4" w:rsidP="00661DE4">
            <w:pPr>
              <w:cnfStyle w:val="000000100000" w:firstRow="0" w:lastRow="0" w:firstColumn="0" w:lastColumn="0" w:oddVBand="0" w:evenVBand="0" w:oddHBand="1" w:evenHBand="0" w:firstRowFirstColumn="0" w:firstRowLastColumn="0" w:lastRowFirstColumn="0" w:lastRowLastColumn="0"/>
              <w:rPr>
                <w:rFonts w:cstheme="minorHAnsi"/>
              </w:rPr>
            </w:pPr>
          </w:p>
          <w:p w14:paraId="3AA59290" w14:textId="77777777" w:rsidR="00661DE4" w:rsidRDefault="00661DE4" w:rsidP="00661DE4">
            <w:pPr>
              <w:cnfStyle w:val="000000100000" w:firstRow="0" w:lastRow="0" w:firstColumn="0" w:lastColumn="0" w:oddVBand="0" w:evenVBand="0" w:oddHBand="1" w:evenHBand="0" w:firstRowFirstColumn="0" w:firstRowLastColumn="0" w:lastRowFirstColumn="0" w:lastRowLastColumn="0"/>
              <w:rPr>
                <w:rFonts w:cstheme="minorHAnsi"/>
              </w:rPr>
            </w:pPr>
          </w:p>
          <w:p w14:paraId="7CF470F4" w14:textId="77777777" w:rsidR="00661DE4" w:rsidRDefault="00661DE4" w:rsidP="00661DE4">
            <w:pPr>
              <w:cnfStyle w:val="000000100000" w:firstRow="0" w:lastRow="0" w:firstColumn="0" w:lastColumn="0" w:oddVBand="0" w:evenVBand="0" w:oddHBand="1" w:evenHBand="0" w:firstRowFirstColumn="0" w:firstRowLastColumn="0" w:lastRowFirstColumn="0" w:lastRowLastColumn="0"/>
              <w:rPr>
                <w:rFonts w:cstheme="minorHAnsi"/>
              </w:rPr>
            </w:pPr>
          </w:p>
          <w:p w14:paraId="489E4E41" w14:textId="77777777" w:rsidR="00661DE4" w:rsidRDefault="00661DE4" w:rsidP="00661DE4">
            <w:pPr>
              <w:cnfStyle w:val="000000100000" w:firstRow="0" w:lastRow="0" w:firstColumn="0" w:lastColumn="0" w:oddVBand="0" w:evenVBand="0" w:oddHBand="1" w:evenHBand="0" w:firstRowFirstColumn="0" w:firstRowLastColumn="0" w:lastRowFirstColumn="0" w:lastRowLastColumn="0"/>
              <w:rPr>
                <w:rFonts w:cstheme="minorHAnsi"/>
              </w:rPr>
            </w:pPr>
          </w:p>
          <w:p w14:paraId="7C2CF923" w14:textId="77777777" w:rsidR="00661DE4" w:rsidRDefault="00661DE4" w:rsidP="00661DE4">
            <w:pPr>
              <w:cnfStyle w:val="000000100000" w:firstRow="0" w:lastRow="0" w:firstColumn="0" w:lastColumn="0" w:oddVBand="0" w:evenVBand="0" w:oddHBand="1" w:evenHBand="0" w:firstRowFirstColumn="0" w:firstRowLastColumn="0" w:lastRowFirstColumn="0" w:lastRowLastColumn="0"/>
              <w:rPr>
                <w:rFonts w:cstheme="minorHAnsi"/>
              </w:rPr>
            </w:pPr>
          </w:p>
          <w:p w14:paraId="645EB8A3" w14:textId="77777777" w:rsidR="00661DE4" w:rsidRPr="00894F6F" w:rsidRDefault="00661DE4" w:rsidP="00661DE4">
            <w:pPr>
              <w:cnfStyle w:val="000000100000" w:firstRow="0" w:lastRow="0" w:firstColumn="0" w:lastColumn="0" w:oddVBand="0" w:evenVBand="0" w:oddHBand="1" w:evenHBand="0" w:firstRowFirstColumn="0" w:firstRowLastColumn="0" w:lastRowFirstColumn="0" w:lastRowLastColumn="0"/>
              <w:rPr>
                <w:rFonts w:cstheme="minorHAnsi"/>
              </w:rPr>
            </w:pPr>
            <w:r w:rsidRPr="00894F6F">
              <w:rPr>
                <w:rFonts w:cstheme="minorHAnsi"/>
              </w:rPr>
              <w:t>Long-term</w:t>
            </w:r>
          </w:p>
        </w:tc>
      </w:tr>
      <w:tr w:rsidR="00661DE4" w:rsidRPr="00894F6F" w14:paraId="570D18BE" w14:textId="77777777" w:rsidTr="005862F2">
        <w:tc>
          <w:tcPr>
            <w:cnfStyle w:val="001000000000" w:firstRow="0" w:lastRow="0" w:firstColumn="1" w:lastColumn="0" w:oddVBand="0" w:evenVBand="0" w:oddHBand="0" w:evenHBand="0" w:firstRowFirstColumn="0" w:firstRowLastColumn="0" w:lastRowFirstColumn="0" w:lastRowLastColumn="0"/>
            <w:tcW w:w="2260" w:type="dxa"/>
          </w:tcPr>
          <w:p w14:paraId="05B31E3E" w14:textId="77777777" w:rsidR="00661DE4" w:rsidRPr="00894F6F" w:rsidRDefault="00661DE4" w:rsidP="00661DE4">
            <w:pPr>
              <w:rPr>
                <w:rFonts w:cstheme="minorHAnsi"/>
              </w:rPr>
            </w:pPr>
          </w:p>
        </w:tc>
        <w:tc>
          <w:tcPr>
            <w:tcW w:w="3831" w:type="dxa"/>
          </w:tcPr>
          <w:p w14:paraId="439BE7BF" w14:textId="77777777" w:rsidR="00661DE4" w:rsidRPr="00D12A00" w:rsidRDefault="00661DE4" w:rsidP="00661DE4">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inorHAnsi"/>
                <w:color w:val="404040" w:themeColor="text1" w:themeTint="BF"/>
                <w:sz w:val="20"/>
                <w:szCs w:val="20"/>
              </w:rPr>
            </w:pPr>
            <w:r w:rsidRPr="00D12A00">
              <w:t>6. To facilitate and support the provision of gambling free activities that enhance community connections and social inclusion.</w:t>
            </w:r>
          </w:p>
        </w:tc>
        <w:tc>
          <w:tcPr>
            <w:tcW w:w="6641" w:type="dxa"/>
          </w:tcPr>
          <w:p w14:paraId="4F165F34" w14:textId="77777777" w:rsidR="00661DE4" w:rsidRPr="00894F6F" w:rsidRDefault="00661DE4" w:rsidP="00661DE4">
            <w:pPr>
              <w:pStyle w:val="Heading1"/>
              <w:spacing w:befor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 xml:space="preserve">6.1 </w:t>
            </w:r>
            <w:r w:rsidRPr="00894F6F">
              <w:rPr>
                <w:rFonts w:asciiTheme="minorHAnsi" w:hAnsiTheme="minorHAnsi" w:cstheme="minorHAnsi"/>
                <w:color w:val="auto"/>
                <w:sz w:val="22"/>
                <w:szCs w:val="22"/>
              </w:rPr>
              <w:t>Ensure Council’s comm</w:t>
            </w:r>
            <w:r>
              <w:rPr>
                <w:rFonts w:asciiTheme="minorHAnsi" w:hAnsiTheme="minorHAnsi" w:cstheme="minorHAnsi"/>
                <w:color w:val="auto"/>
                <w:sz w:val="22"/>
                <w:szCs w:val="22"/>
              </w:rPr>
              <w:t xml:space="preserve">unity grants program support </w:t>
            </w:r>
            <w:r w:rsidRPr="00894F6F">
              <w:rPr>
                <w:rFonts w:asciiTheme="minorHAnsi" w:hAnsiTheme="minorHAnsi" w:cstheme="minorHAnsi"/>
                <w:color w:val="auto"/>
                <w:sz w:val="22"/>
                <w:szCs w:val="22"/>
              </w:rPr>
              <w:t>programs that:</w:t>
            </w:r>
          </w:p>
          <w:p w14:paraId="284F3F69" w14:textId="77777777" w:rsidR="00661DE4" w:rsidRPr="00894F6F" w:rsidRDefault="00661DE4" w:rsidP="00661DE4">
            <w:pPr>
              <w:pStyle w:val="Heading1"/>
              <w:numPr>
                <w:ilvl w:val="0"/>
                <w:numId w:val="5"/>
              </w:numPr>
              <w:spacing w:befor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894F6F">
              <w:rPr>
                <w:rFonts w:asciiTheme="minorHAnsi" w:hAnsiTheme="minorHAnsi" w:cstheme="minorHAnsi"/>
                <w:color w:val="auto"/>
                <w:sz w:val="22"/>
                <w:szCs w:val="22"/>
              </w:rPr>
              <w:t xml:space="preserve">Support organisations and groups to undertake initiatives with a focus on gambling prevention and raising awareness about gambling </w:t>
            </w:r>
            <w:r>
              <w:rPr>
                <w:rFonts w:asciiTheme="minorHAnsi" w:hAnsiTheme="minorHAnsi" w:cstheme="minorHAnsi"/>
                <w:color w:val="auto"/>
                <w:sz w:val="22"/>
                <w:szCs w:val="22"/>
              </w:rPr>
              <w:t>harm</w:t>
            </w:r>
            <w:r w:rsidRPr="00894F6F">
              <w:rPr>
                <w:rFonts w:asciiTheme="minorHAnsi" w:hAnsiTheme="minorHAnsi" w:cstheme="minorHAnsi"/>
                <w:color w:val="auto"/>
                <w:sz w:val="22"/>
                <w:szCs w:val="22"/>
              </w:rPr>
              <w:t>; and</w:t>
            </w:r>
          </w:p>
          <w:p w14:paraId="034059BE" w14:textId="77777777" w:rsidR="00661DE4" w:rsidRDefault="00661DE4" w:rsidP="00661DE4">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894F6F">
              <w:rPr>
                <w:rFonts w:cstheme="minorHAnsi"/>
              </w:rPr>
              <w:t>Improve social connection and local infrast</w:t>
            </w:r>
            <w:r>
              <w:rPr>
                <w:rFonts w:cstheme="minorHAnsi"/>
              </w:rPr>
              <w:t>ructure and support</w:t>
            </w:r>
            <w:r w:rsidRPr="00894F6F">
              <w:rPr>
                <w:rFonts w:cstheme="minorHAnsi"/>
              </w:rPr>
              <w:t xml:space="preserve"> alternative recreational activities to gambling.</w:t>
            </w:r>
          </w:p>
          <w:p w14:paraId="56BF8326" w14:textId="77777777" w:rsidR="00661DE4" w:rsidRPr="00894F6F" w:rsidRDefault="00661DE4" w:rsidP="00661DE4">
            <w:pPr>
              <w:pStyle w:val="ListParagraph"/>
              <w:ind w:left="1452"/>
              <w:cnfStyle w:val="000000000000" w:firstRow="0" w:lastRow="0" w:firstColumn="0" w:lastColumn="0" w:oddVBand="0" w:evenVBand="0" w:oddHBand="0" w:evenHBand="0" w:firstRowFirstColumn="0" w:firstRowLastColumn="0" w:lastRowFirstColumn="0" w:lastRowLastColumn="0"/>
              <w:rPr>
                <w:rFonts w:cstheme="minorHAnsi"/>
              </w:rPr>
            </w:pPr>
          </w:p>
          <w:p w14:paraId="0C171A55" w14:textId="77777777" w:rsidR="00661DE4" w:rsidRDefault="00661DE4" w:rsidP="00661DE4">
            <w:pPr>
              <w:pStyle w:val="Heading1"/>
              <w:spacing w:befor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6.2 I</w:t>
            </w:r>
            <w:r w:rsidRPr="00894F6F">
              <w:rPr>
                <w:rFonts w:asciiTheme="minorHAnsi" w:hAnsiTheme="minorHAnsi" w:cstheme="minorHAnsi"/>
                <w:color w:val="auto"/>
                <w:sz w:val="22"/>
                <w:szCs w:val="22"/>
              </w:rPr>
              <w:t xml:space="preserve">nvestigate further opportunities through Council’s funding mechanisms to progress </w:t>
            </w:r>
            <w:r>
              <w:rPr>
                <w:rFonts w:asciiTheme="minorHAnsi" w:hAnsiTheme="minorHAnsi" w:cstheme="minorHAnsi"/>
                <w:color w:val="auto"/>
                <w:sz w:val="22"/>
                <w:szCs w:val="22"/>
              </w:rPr>
              <w:t>harm</w:t>
            </w:r>
            <w:r w:rsidRPr="00894F6F">
              <w:rPr>
                <w:rFonts w:asciiTheme="minorHAnsi" w:hAnsiTheme="minorHAnsi" w:cstheme="minorHAnsi"/>
                <w:color w:val="auto"/>
                <w:sz w:val="22"/>
                <w:szCs w:val="22"/>
              </w:rPr>
              <w:t xml:space="preserve"> minimisation approaches</w:t>
            </w:r>
            <w:r>
              <w:rPr>
                <w:rFonts w:asciiTheme="minorHAnsi" w:hAnsiTheme="minorHAnsi" w:cstheme="minorHAnsi"/>
                <w:color w:val="auto"/>
                <w:sz w:val="22"/>
                <w:szCs w:val="22"/>
              </w:rPr>
              <w:t>.</w:t>
            </w:r>
          </w:p>
          <w:p w14:paraId="6D59EAF8" w14:textId="77777777" w:rsidR="00661DE4" w:rsidRPr="00891B7D" w:rsidRDefault="00661DE4" w:rsidP="00661DE4">
            <w:pPr>
              <w:cnfStyle w:val="000000000000" w:firstRow="0" w:lastRow="0" w:firstColumn="0" w:lastColumn="0" w:oddVBand="0" w:evenVBand="0" w:oddHBand="0" w:evenHBand="0" w:firstRowFirstColumn="0" w:firstRowLastColumn="0" w:lastRowFirstColumn="0" w:lastRowLastColumn="0"/>
            </w:pPr>
          </w:p>
          <w:p w14:paraId="2D981FDC" w14:textId="77777777" w:rsidR="00661DE4" w:rsidRDefault="00661DE4" w:rsidP="00661DE4">
            <w:pPr>
              <w:cnfStyle w:val="000000000000" w:firstRow="0" w:lastRow="0" w:firstColumn="0" w:lastColumn="0" w:oddVBand="0" w:evenVBand="0" w:oddHBand="0" w:evenHBand="0" w:firstRowFirstColumn="0" w:firstRowLastColumn="0" w:lastRowFirstColumn="0" w:lastRowLastColumn="0"/>
            </w:pPr>
            <w:r>
              <w:t>6.3 Council will work with key partners</w:t>
            </w:r>
          </w:p>
          <w:p w14:paraId="400B06D3" w14:textId="77777777" w:rsidR="00661DE4" w:rsidRDefault="00661DE4" w:rsidP="00661DE4">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pPr>
            <w:r>
              <w:lastRenderedPageBreak/>
              <w:t>to support the development of alternative activities to gambling in Wyndham and ensure information is available in key community languages.</w:t>
            </w:r>
          </w:p>
          <w:p w14:paraId="0211A692" w14:textId="77777777" w:rsidR="00661DE4" w:rsidRDefault="00661DE4" w:rsidP="00661DE4">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pPr>
            <w:r>
              <w:t>to support and promote local and state government services and community groups addressing the harm of gambling through prevention, innovative programs, service provision and treatment.</w:t>
            </w:r>
          </w:p>
          <w:p w14:paraId="7A2FE150" w14:textId="77777777" w:rsidR="00661DE4" w:rsidRPr="00305ECC" w:rsidRDefault="00661DE4" w:rsidP="00661DE4">
            <w:pPr>
              <w:cnfStyle w:val="000000000000" w:firstRow="0" w:lastRow="0" w:firstColumn="0" w:lastColumn="0" w:oddVBand="0" w:evenVBand="0" w:oddHBand="0" w:evenHBand="0" w:firstRowFirstColumn="0" w:firstRowLastColumn="0" w:lastRowFirstColumn="0" w:lastRowLastColumn="0"/>
            </w:pPr>
          </w:p>
        </w:tc>
        <w:tc>
          <w:tcPr>
            <w:tcW w:w="1216" w:type="dxa"/>
          </w:tcPr>
          <w:p w14:paraId="19E3B5B3" w14:textId="77777777" w:rsidR="00661DE4" w:rsidRPr="00894F6F" w:rsidRDefault="00661DE4" w:rsidP="00661DE4">
            <w:pPr>
              <w:jc w:val="both"/>
              <w:cnfStyle w:val="000000000000" w:firstRow="0" w:lastRow="0" w:firstColumn="0" w:lastColumn="0" w:oddVBand="0" w:evenVBand="0" w:oddHBand="0" w:evenHBand="0" w:firstRowFirstColumn="0" w:firstRowLastColumn="0" w:lastRowFirstColumn="0" w:lastRowLastColumn="0"/>
            </w:pPr>
            <w:r w:rsidRPr="00894F6F">
              <w:lastRenderedPageBreak/>
              <w:t>Short-term</w:t>
            </w:r>
          </w:p>
          <w:p w14:paraId="4FBE5357" w14:textId="77777777" w:rsidR="00661DE4" w:rsidRPr="00894F6F" w:rsidRDefault="00661DE4" w:rsidP="00661DE4">
            <w:pPr>
              <w:jc w:val="both"/>
              <w:cnfStyle w:val="000000000000" w:firstRow="0" w:lastRow="0" w:firstColumn="0" w:lastColumn="0" w:oddVBand="0" w:evenVBand="0" w:oddHBand="0" w:evenHBand="0" w:firstRowFirstColumn="0" w:firstRowLastColumn="0" w:lastRowFirstColumn="0" w:lastRowLastColumn="0"/>
            </w:pPr>
          </w:p>
          <w:p w14:paraId="53901D1A" w14:textId="77777777" w:rsidR="00661DE4" w:rsidRPr="00894F6F" w:rsidRDefault="00661DE4" w:rsidP="00661DE4">
            <w:pPr>
              <w:jc w:val="both"/>
              <w:cnfStyle w:val="000000000000" w:firstRow="0" w:lastRow="0" w:firstColumn="0" w:lastColumn="0" w:oddVBand="0" w:evenVBand="0" w:oddHBand="0" w:evenHBand="0" w:firstRowFirstColumn="0" w:firstRowLastColumn="0" w:lastRowFirstColumn="0" w:lastRowLastColumn="0"/>
            </w:pPr>
          </w:p>
          <w:p w14:paraId="5AB948E2" w14:textId="77777777" w:rsidR="00661DE4" w:rsidRPr="00894F6F" w:rsidRDefault="00661DE4" w:rsidP="00661DE4">
            <w:pPr>
              <w:jc w:val="both"/>
              <w:cnfStyle w:val="000000000000" w:firstRow="0" w:lastRow="0" w:firstColumn="0" w:lastColumn="0" w:oddVBand="0" w:evenVBand="0" w:oddHBand="0" w:evenHBand="0" w:firstRowFirstColumn="0" w:firstRowLastColumn="0" w:lastRowFirstColumn="0" w:lastRowLastColumn="0"/>
            </w:pPr>
          </w:p>
          <w:p w14:paraId="112DE929" w14:textId="77777777" w:rsidR="00661DE4" w:rsidRPr="00894F6F" w:rsidRDefault="00661DE4" w:rsidP="00661DE4">
            <w:pPr>
              <w:jc w:val="both"/>
              <w:cnfStyle w:val="000000000000" w:firstRow="0" w:lastRow="0" w:firstColumn="0" w:lastColumn="0" w:oddVBand="0" w:evenVBand="0" w:oddHBand="0" w:evenHBand="0" w:firstRowFirstColumn="0" w:firstRowLastColumn="0" w:lastRowFirstColumn="0" w:lastRowLastColumn="0"/>
            </w:pPr>
          </w:p>
          <w:p w14:paraId="29568251" w14:textId="77777777" w:rsidR="00661DE4" w:rsidRDefault="00661DE4" w:rsidP="00661DE4">
            <w:pPr>
              <w:jc w:val="both"/>
              <w:cnfStyle w:val="000000000000" w:firstRow="0" w:lastRow="0" w:firstColumn="0" w:lastColumn="0" w:oddVBand="0" w:evenVBand="0" w:oddHBand="0" w:evenHBand="0" w:firstRowFirstColumn="0" w:firstRowLastColumn="0" w:lastRowFirstColumn="0" w:lastRowLastColumn="0"/>
            </w:pPr>
          </w:p>
          <w:p w14:paraId="76D22EA5" w14:textId="77777777" w:rsidR="00661DE4" w:rsidRDefault="00661DE4" w:rsidP="00661DE4">
            <w:pPr>
              <w:jc w:val="both"/>
              <w:cnfStyle w:val="000000000000" w:firstRow="0" w:lastRow="0" w:firstColumn="0" w:lastColumn="0" w:oddVBand="0" w:evenVBand="0" w:oddHBand="0" w:evenHBand="0" w:firstRowFirstColumn="0" w:firstRowLastColumn="0" w:lastRowFirstColumn="0" w:lastRowLastColumn="0"/>
            </w:pPr>
          </w:p>
          <w:p w14:paraId="78546C3F" w14:textId="77777777" w:rsidR="00661DE4" w:rsidRPr="00894F6F" w:rsidRDefault="00661DE4" w:rsidP="00661DE4">
            <w:pPr>
              <w:jc w:val="both"/>
              <w:cnfStyle w:val="000000000000" w:firstRow="0" w:lastRow="0" w:firstColumn="0" w:lastColumn="0" w:oddVBand="0" w:evenVBand="0" w:oddHBand="0" w:evenHBand="0" w:firstRowFirstColumn="0" w:firstRowLastColumn="0" w:lastRowFirstColumn="0" w:lastRowLastColumn="0"/>
            </w:pPr>
            <w:r>
              <w:t>Medium term</w:t>
            </w:r>
          </w:p>
          <w:p w14:paraId="59C993E9" w14:textId="77777777" w:rsidR="00661DE4" w:rsidRPr="00894F6F" w:rsidRDefault="00661DE4" w:rsidP="00661DE4">
            <w:pPr>
              <w:jc w:val="both"/>
              <w:cnfStyle w:val="000000000000" w:firstRow="0" w:lastRow="0" w:firstColumn="0" w:lastColumn="0" w:oddVBand="0" w:evenVBand="0" w:oddHBand="0" w:evenHBand="0" w:firstRowFirstColumn="0" w:firstRowLastColumn="0" w:lastRowFirstColumn="0" w:lastRowLastColumn="0"/>
            </w:pPr>
          </w:p>
          <w:p w14:paraId="253C488F" w14:textId="77777777" w:rsidR="00661DE4" w:rsidRDefault="00661DE4" w:rsidP="00661DE4">
            <w:pPr>
              <w:jc w:val="both"/>
              <w:cnfStyle w:val="000000000000" w:firstRow="0" w:lastRow="0" w:firstColumn="0" w:lastColumn="0" w:oddVBand="0" w:evenVBand="0" w:oddHBand="0" w:evenHBand="0" w:firstRowFirstColumn="0" w:firstRowLastColumn="0" w:lastRowFirstColumn="0" w:lastRowLastColumn="0"/>
            </w:pPr>
          </w:p>
          <w:p w14:paraId="14B8538B" w14:textId="77777777" w:rsidR="00661DE4" w:rsidRDefault="00661DE4" w:rsidP="00661DE4">
            <w:pPr>
              <w:jc w:val="both"/>
              <w:cnfStyle w:val="000000000000" w:firstRow="0" w:lastRow="0" w:firstColumn="0" w:lastColumn="0" w:oddVBand="0" w:evenVBand="0" w:oddHBand="0" w:evenHBand="0" w:firstRowFirstColumn="0" w:firstRowLastColumn="0" w:lastRowFirstColumn="0" w:lastRowLastColumn="0"/>
            </w:pPr>
          </w:p>
          <w:p w14:paraId="7E69BACF" w14:textId="77777777" w:rsidR="00661DE4" w:rsidRDefault="00661DE4" w:rsidP="00661DE4">
            <w:pPr>
              <w:jc w:val="both"/>
              <w:cnfStyle w:val="000000000000" w:firstRow="0" w:lastRow="0" w:firstColumn="0" w:lastColumn="0" w:oddVBand="0" w:evenVBand="0" w:oddHBand="0" w:evenHBand="0" w:firstRowFirstColumn="0" w:firstRowLastColumn="0" w:lastRowFirstColumn="0" w:lastRowLastColumn="0"/>
            </w:pPr>
          </w:p>
          <w:p w14:paraId="393083B2" w14:textId="77777777" w:rsidR="00661DE4" w:rsidRDefault="00661DE4" w:rsidP="00661DE4">
            <w:pPr>
              <w:jc w:val="both"/>
              <w:cnfStyle w:val="000000000000" w:firstRow="0" w:lastRow="0" w:firstColumn="0" w:lastColumn="0" w:oddVBand="0" w:evenVBand="0" w:oddHBand="0" w:evenHBand="0" w:firstRowFirstColumn="0" w:firstRowLastColumn="0" w:lastRowFirstColumn="0" w:lastRowLastColumn="0"/>
            </w:pPr>
            <w:r>
              <w:t>Short term</w:t>
            </w:r>
          </w:p>
          <w:p w14:paraId="15391E1B" w14:textId="77777777" w:rsidR="00661DE4" w:rsidRDefault="00661DE4" w:rsidP="00661DE4">
            <w:pPr>
              <w:jc w:val="both"/>
              <w:cnfStyle w:val="000000000000" w:firstRow="0" w:lastRow="0" w:firstColumn="0" w:lastColumn="0" w:oddVBand="0" w:evenVBand="0" w:oddHBand="0" w:evenHBand="0" w:firstRowFirstColumn="0" w:firstRowLastColumn="0" w:lastRowFirstColumn="0" w:lastRowLastColumn="0"/>
            </w:pPr>
          </w:p>
          <w:p w14:paraId="4B44AE80" w14:textId="77777777" w:rsidR="00661DE4" w:rsidRDefault="00661DE4" w:rsidP="00661DE4">
            <w:pPr>
              <w:jc w:val="both"/>
              <w:cnfStyle w:val="000000000000" w:firstRow="0" w:lastRow="0" w:firstColumn="0" w:lastColumn="0" w:oddVBand="0" w:evenVBand="0" w:oddHBand="0" w:evenHBand="0" w:firstRowFirstColumn="0" w:firstRowLastColumn="0" w:lastRowFirstColumn="0" w:lastRowLastColumn="0"/>
            </w:pPr>
          </w:p>
          <w:p w14:paraId="24E74349" w14:textId="77777777" w:rsidR="00661DE4" w:rsidRPr="00894F6F" w:rsidRDefault="00661DE4" w:rsidP="00661DE4">
            <w:pPr>
              <w:jc w:val="both"/>
              <w:cnfStyle w:val="000000000000" w:firstRow="0" w:lastRow="0" w:firstColumn="0" w:lastColumn="0" w:oddVBand="0" w:evenVBand="0" w:oddHBand="0" w:evenHBand="0" w:firstRowFirstColumn="0" w:firstRowLastColumn="0" w:lastRowFirstColumn="0" w:lastRowLastColumn="0"/>
            </w:pPr>
            <w:r>
              <w:t>Ongoing</w:t>
            </w:r>
          </w:p>
        </w:tc>
      </w:tr>
      <w:tr w:rsidR="00661DE4" w:rsidRPr="00894F6F" w14:paraId="4D6C38E6" w14:textId="77777777" w:rsidTr="00586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Pr>
          <w:p w14:paraId="2C7B06F8" w14:textId="77777777" w:rsidR="00661DE4" w:rsidRPr="00894F6F" w:rsidRDefault="00661DE4" w:rsidP="00661DE4">
            <w:pPr>
              <w:rPr>
                <w:rFonts w:cstheme="minorHAnsi"/>
              </w:rPr>
            </w:pPr>
          </w:p>
        </w:tc>
        <w:tc>
          <w:tcPr>
            <w:tcW w:w="3831" w:type="dxa"/>
          </w:tcPr>
          <w:p w14:paraId="06C718B0" w14:textId="77777777" w:rsidR="00661DE4" w:rsidRPr="00D12A00" w:rsidRDefault="00661DE4" w:rsidP="00661DE4">
            <w:pPr>
              <w:cnfStyle w:val="000000100000" w:firstRow="0" w:lastRow="0" w:firstColumn="0" w:lastColumn="0" w:oddVBand="0" w:evenVBand="0" w:oddHBand="1" w:evenHBand="0" w:firstRowFirstColumn="0" w:firstRowLastColumn="0" w:lastRowFirstColumn="0" w:lastRowLastColumn="0"/>
            </w:pPr>
            <w:r w:rsidRPr="00D12A00">
              <w:t>7. To raise awareness about the health risks of gambling to individuals and the community both within the organisation and across Wyndham.</w:t>
            </w:r>
          </w:p>
          <w:p w14:paraId="1F0ABB15" w14:textId="77777777" w:rsidR="00661DE4" w:rsidRPr="00D12A00" w:rsidRDefault="00661DE4" w:rsidP="00661DE4">
            <w:pPr>
              <w:pStyle w:val="ListParagraph"/>
              <w:cnfStyle w:val="000000100000" w:firstRow="0" w:lastRow="0" w:firstColumn="0" w:lastColumn="0" w:oddVBand="0" w:evenVBand="0" w:oddHBand="1" w:evenHBand="0" w:firstRowFirstColumn="0" w:firstRowLastColumn="0" w:lastRowFirstColumn="0" w:lastRowLastColumn="0"/>
              <w:rPr>
                <w:rFonts w:cstheme="minorHAnsi"/>
              </w:rPr>
            </w:pPr>
          </w:p>
        </w:tc>
        <w:tc>
          <w:tcPr>
            <w:tcW w:w="6641" w:type="dxa"/>
          </w:tcPr>
          <w:p w14:paraId="79B7CF5F" w14:textId="77777777" w:rsidR="00661DE4" w:rsidRPr="00894F6F" w:rsidRDefault="00661DE4" w:rsidP="00661DE4">
            <w:pPr>
              <w:pStyle w:val="Heading1"/>
              <w:spacing w:befor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 xml:space="preserve">7.1 </w:t>
            </w:r>
            <w:r w:rsidRPr="00894F6F">
              <w:rPr>
                <w:rFonts w:asciiTheme="minorHAnsi" w:hAnsiTheme="minorHAnsi" w:cstheme="minorHAnsi"/>
                <w:color w:val="auto"/>
                <w:sz w:val="22"/>
                <w:szCs w:val="22"/>
              </w:rPr>
              <w:t xml:space="preserve">Deliver community education and resources to raise awareness of the </w:t>
            </w:r>
            <w:r>
              <w:rPr>
                <w:rFonts w:asciiTheme="minorHAnsi" w:hAnsiTheme="minorHAnsi" w:cstheme="minorHAnsi"/>
                <w:color w:val="auto"/>
                <w:sz w:val="22"/>
                <w:szCs w:val="22"/>
              </w:rPr>
              <w:t>harm</w:t>
            </w:r>
            <w:r w:rsidRPr="00894F6F">
              <w:rPr>
                <w:rFonts w:asciiTheme="minorHAnsi" w:hAnsiTheme="minorHAnsi" w:cstheme="minorHAnsi"/>
                <w:color w:val="auto"/>
                <w:sz w:val="22"/>
                <w:szCs w:val="22"/>
              </w:rPr>
              <w:t xml:space="preserve"> associated with gambling </w:t>
            </w:r>
            <w:r>
              <w:rPr>
                <w:rFonts w:asciiTheme="minorHAnsi" w:hAnsiTheme="minorHAnsi" w:cstheme="minorHAnsi"/>
                <w:color w:val="auto"/>
                <w:sz w:val="22"/>
                <w:szCs w:val="22"/>
              </w:rPr>
              <w:t xml:space="preserve">that </w:t>
            </w:r>
            <w:r w:rsidRPr="00894F6F">
              <w:rPr>
                <w:rFonts w:asciiTheme="minorHAnsi" w:hAnsiTheme="minorHAnsi" w:cstheme="minorHAnsi"/>
                <w:color w:val="auto"/>
                <w:sz w:val="22"/>
                <w:szCs w:val="22"/>
              </w:rPr>
              <w:t>meets the needs of Wyndham’s diverse communities</w:t>
            </w:r>
            <w:r>
              <w:rPr>
                <w:rFonts w:asciiTheme="minorHAnsi" w:hAnsiTheme="minorHAnsi" w:cstheme="minorHAnsi"/>
                <w:color w:val="auto"/>
                <w:sz w:val="22"/>
                <w:szCs w:val="22"/>
              </w:rPr>
              <w:t>.</w:t>
            </w:r>
          </w:p>
          <w:p w14:paraId="1B9B58F0" w14:textId="77777777" w:rsidR="00661DE4" w:rsidRDefault="00661DE4" w:rsidP="00661DE4">
            <w:pPr>
              <w:pStyle w:val="Heading1"/>
              <w:spacing w:befor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 xml:space="preserve">7.2 </w:t>
            </w:r>
            <w:r w:rsidRPr="00894F6F">
              <w:rPr>
                <w:rFonts w:asciiTheme="minorHAnsi" w:hAnsiTheme="minorHAnsi" w:cstheme="minorHAnsi"/>
                <w:color w:val="auto"/>
                <w:sz w:val="22"/>
                <w:szCs w:val="22"/>
              </w:rPr>
              <w:t>Promote gambling support services and programs through relevant networks and publications.</w:t>
            </w:r>
          </w:p>
          <w:p w14:paraId="31AFB88B" w14:textId="77777777" w:rsidR="00661DE4" w:rsidRPr="00305ECC" w:rsidRDefault="00661DE4" w:rsidP="00661DE4">
            <w:pPr>
              <w:cnfStyle w:val="000000100000" w:firstRow="0" w:lastRow="0" w:firstColumn="0" w:lastColumn="0" w:oddVBand="0" w:evenVBand="0" w:oddHBand="1" w:evenHBand="0" w:firstRowFirstColumn="0" w:firstRowLastColumn="0" w:lastRowFirstColumn="0" w:lastRowLastColumn="0"/>
            </w:pPr>
            <w:r>
              <w:t xml:space="preserve">7.3 </w:t>
            </w:r>
            <w:r w:rsidRPr="00305ECC">
              <w:t>Increase Councillor, staff and volunteer awareness and understanding through training and information sessions about the harm caused by gambling.</w:t>
            </w:r>
          </w:p>
        </w:tc>
        <w:tc>
          <w:tcPr>
            <w:tcW w:w="1216" w:type="dxa"/>
          </w:tcPr>
          <w:p w14:paraId="3D477FAB" w14:textId="77777777" w:rsidR="00661DE4" w:rsidRPr="00894F6F" w:rsidRDefault="00661DE4" w:rsidP="00661DE4">
            <w:pPr>
              <w:cnfStyle w:val="000000100000" w:firstRow="0" w:lastRow="0" w:firstColumn="0" w:lastColumn="0" w:oddVBand="0" w:evenVBand="0" w:oddHBand="1" w:evenHBand="0" w:firstRowFirstColumn="0" w:firstRowLastColumn="0" w:lastRowFirstColumn="0" w:lastRowLastColumn="0"/>
            </w:pPr>
            <w:r>
              <w:t>Ongoing</w:t>
            </w:r>
          </w:p>
          <w:p w14:paraId="7AF98E6C" w14:textId="77777777" w:rsidR="00661DE4" w:rsidRDefault="00661DE4" w:rsidP="00661DE4">
            <w:pPr>
              <w:cnfStyle w:val="000000100000" w:firstRow="0" w:lastRow="0" w:firstColumn="0" w:lastColumn="0" w:oddVBand="0" w:evenVBand="0" w:oddHBand="1" w:evenHBand="0" w:firstRowFirstColumn="0" w:firstRowLastColumn="0" w:lastRowFirstColumn="0" w:lastRowLastColumn="0"/>
            </w:pPr>
          </w:p>
          <w:p w14:paraId="52D9B421" w14:textId="77777777" w:rsidR="00661DE4" w:rsidRDefault="00661DE4" w:rsidP="00661DE4">
            <w:pPr>
              <w:cnfStyle w:val="000000100000" w:firstRow="0" w:lastRow="0" w:firstColumn="0" w:lastColumn="0" w:oddVBand="0" w:evenVBand="0" w:oddHBand="1" w:evenHBand="0" w:firstRowFirstColumn="0" w:firstRowLastColumn="0" w:lastRowFirstColumn="0" w:lastRowLastColumn="0"/>
            </w:pPr>
          </w:p>
          <w:p w14:paraId="04E0293D" w14:textId="77777777" w:rsidR="00661DE4" w:rsidRPr="00894F6F" w:rsidRDefault="00661DE4" w:rsidP="00661DE4">
            <w:pPr>
              <w:cnfStyle w:val="000000100000" w:firstRow="0" w:lastRow="0" w:firstColumn="0" w:lastColumn="0" w:oddVBand="0" w:evenVBand="0" w:oddHBand="1" w:evenHBand="0" w:firstRowFirstColumn="0" w:firstRowLastColumn="0" w:lastRowFirstColumn="0" w:lastRowLastColumn="0"/>
            </w:pPr>
            <w:r>
              <w:t>Ongoing</w:t>
            </w:r>
          </w:p>
          <w:p w14:paraId="269AB512" w14:textId="77777777" w:rsidR="00661DE4" w:rsidRPr="00894F6F" w:rsidRDefault="00661DE4" w:rsidP="00661DE4">
            <w:pPr>
              <w:cnfStyle w:val="000000100000" w:firstRow="0" w:lastRow="0" w:firstColumn="0" w:lastColumn="0" w:oddVBand="0" w:evenVBand="0" w:oddHBand="1" w:evenHBand="0" w:firstRowFirstColumn="0" w:firstRowLastColumn="0" w:lastRowFirstColumn="0" w:lastRowLastColumn="0"/>
            </w:pPr>
          </w:p>
          <w:p w14:paraId="182137F4" w14:textId="77777777" w:rsidR="00661DE4" w:rsidRPr="00894F6F" w:rsidRDefault="00661DE4" w:rsidP="00661DE4">
            <w:pPr>
              <w:cnfStyle w:val="000000100000" w:firstRow="0" w:lastRow="0" w:firstColumn="0" w:lastColumn="0" w:oddVBand="0" w:evenVBand="0" w:oddHBand="1" w:evenHBand="0" w:firstRowFirstColumn="0" w:firstRowLastColumn="0" w:lastRowFirstColumn="0" w:lastRowLastColumn="0"/>
            </w:pPr>
            <w:r>
              <w:t>Ongoing</w:t>
            </w:r>
          </w:p>
        </w:tc>
      </w:tr>
      <w:tr w:rsidR="00661DE4" w:rsidRPr="00894F6F" w14:paraId="245FEDC6" w14:textId="77777777" w:rsidTr="005862F2">
        <w:tc>
          <w:tcPr>
            <w:cnfStyle w:val="001000000000" w:firstRow="0" w:lastRow="0" w:firstColumn="1" w:lastColumn="0" w:oddVBand="0" w:evenVBand="0" w:oddHBand="0" w:evenHBand="0" w:firstRowFirstColumn="0" w:firstRowLastColumn="0" w:lastRowFirstColumn="0" w:lastRowLastColumn="0"/>
            <w:tcW w:w="2260" w:type="dxa"/>
          </w:tcPr>
          <w:p w14:paraId="4BCF9E4E" w14:textId="77777777" w:rsidR="00661DE4" w:rsidRPr="00894F6F" w:rsidRDefault="00661DE4" w:rsidP="00661DE4">
            <w:pPr>
              <w:rPr>
                <w:rFonts w:asciiTheme="majorHAnsi" w:hAnsiTheme="majorHAnsi" w:cstheme="majorHAnsi"/>
                <w:sz w:val="20"/>
                <w:szCs w:val="20"/>
              </w:rPr>
            </w:pPr>
          </w:p>
        </w:tc>
        <w:tc>
          <w:tcPr>
            <w:tcW w:w="3831" w:type="dxa"/>
          </w:tcPr>
          <w:p w14:paraId="76F8EC80" w14:textId="77777777" w:rsidR="00661DE4" w:rsidRPr="00D12A00" w:rsidRDefault="00661DE4" w:rsidP="00661DE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8. </w:t>
            </w:r>
            <w:r w:rsidRPr="00D12A00">
              <w:rPr>
                <w:rFonts w:cstheme="minorHAnsi"/>
              </w:rPr>
              <w:t>To promote ongoing dialogue with gambling providers and work with them to reduce their reliance on gambling income.</w:t>
            </w:r>
          </w:p>
        </w:tc>
        <w:tc>
          <w:tcPr>
            <w:tcW w:w="6641" w:type="dxa"/>
          </w:tcPr>
          <w:p w14:paraId="4695E65B" w14:textId="77777777" w:rsidR="00661DE4" w:rsidRPr="00894F6F" w:rsidRDefault="00661DE4" w:rsidP="00661DE4">
            <w:pPr>
              <w:pStyle w:val="Heading1"/>
              <w:spacing w:befor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 xml:space="preserve">8.1 </w:t>
            </w:r>
            <w:r w:rsidRPr="00894F6F">
              <w:rPr>
                <w:rFonts w:asciiTheme="minorHAnsi" w:hAnsiTheme="minorHAnsi" w:cstheme="minorHAnsi"/>
                <w:color w:val="auto"/>
                <w:sz w:val="22"/>
                <w:szCs w:val="22"/>
              </w:rPr>
              <w:t xml:space="preserve">Work with Wyndham clubs and hotels that operate EGMs to reduce their reliance on gaming revenue. </w:t>
            </w:r>
          </w:p>
          <w:p w14:paraId="7FB314A2" w14:textId="77777777" w:rsidR="00661DE4" w:rsidRPr="00894F6F" w:rsidRDefault="00661DE4" w:rsidP="00661DE4">
            <w:pPr>
              <w:pStyle w:val="Heading1"/>
              <w:spacing w:befor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 xml:space="preserve">8.2 </w:t>
            </w:r>
            <w:r w:rsidRPr="00894F6F">
              <w:rPr>
                <w:rFonts w:asciiTheme="minorHAnsi" w:hAnsiTheme="minorHAnsi" w:cstheme="minorHAnsi"/>
                <w:color w:val="auto"/>
                <w:sz w:val="22"/>
                <w:szCs w:val="22"/>
              </w:rPr>
              <w:t>Explore the possibility of an annual forum with gambling providers including EGM operators, to present and discuss information about Wyndham socio-demographic</w:t>
            </w:r>
            <w:r>
              <w:rPr>
                <w:rFonts w:asciiTheme="minorHAnsi" w:hAnsiTheme="minorHAnsi" w:cstheme="minorHAnsi"/>
                <w:color w:val="auto"/>
                <w:sz w:val="22"/>
                <w:szCs w:val="22"/>
              </w:rPr>
              <w:t xml:space="preserve"> characteristics, gambling data</w:t>
            </w:r>
            <w:r w:rsidRPr="00894F6F">
              <w:rPr>
                <w:rFonts w:asciiTheme="minorHAnsi" w:hAnsiTheme="minorHAnsi" w:cstheme="minorHAnsi"/>
                <w:color w:val="auto"/>
                <w:sz w:val="22"/>
                <w:szCs w:val="22"/>
              </w:rPr>
              <w:t xml:space="preserve">, new initiatives regarding gambling activities, and </w:t>
            </w:r>
            <w:r>
              <w:rPr>
                <w:rFonts w:asciiTheme="minorHAnsi" w:hAnsiTheme="minorHAnsi" w:cstheme="minorHAnsi"/>
                <w:color w:val="auto"/>
                <w:sz w:val="22"/>
                <w:szCs w:val="22"/>
              </w:rPr>
              <w:t>harm</w:t>
            </w:r>
            <w:r w:rsidRPr="00894F6F">
              <w:rPr>
                <w:rFonts w:asciiTheme="minorHAnsi" w:hAnsiTheme="minorHAnsi" w:cstheme="minorHAnsi"/>
                <w:color w:val="auto"/>
                <w:sz w:val="22"/>
                <w:szCs w:val="22"/>
              </w:rPr>
              <w:t xml:space="preserve"> minimisation strategies.</w:t>
            </w:r>
          </w:p>
        </w:tc>
        <w:tc>
          <w:tcPr>
            <w:tcW w:w="1216" w:type="dxa"/>
          </w:tcPr>
          <w:p w14:paraId="142B9A6B" w14:textId="77777777" w:rsidR="00661DE4" w:rsidRPr="00894F6F" w:rsidRDefault="00661DE4" w:rsidP="00661DE4">
            <w:pPr>
              <w:cnfStyle w:val="000000000000" w:firstRow="0" w:lastRow="0" w:firstColumn="0" w:lastColumn="0" w:oddVBand="0" w:evenVBand="0" w:oddHBand="0" w:evenHBand="0" w:firstRowFirstColumn="0" w:firstRowLastColumn="0" w:lastRowFirstColumn="0" w:lastRowLastColumn="0"/>
            </w:pPr>
            <w:r w:rsidRPr="00894F6F">
              <w:t>Long-term</w:t>
            </w:r>
          </w:p>
          <w:p w14:paraId="67CFAF3E" w14:textId="77777777" w:rsidR="00661DE4" w:rsidRPr="00894F6F" w:rsidRDefault="00661DE4" w:rsidP="00661DE4">
            <w:pPr>
              <w:cnfStyle w:val="000000000000" w:firstRow="0" w:lastRow="0" w:firstColumn="0" w:lastColumn="0" w:oddVBand="0" w:evenVBand="0" w:oddHBand="0" w:evenHBand="0" w:firstRowFirstColumn="0" w:firstRowLastColumn="0" w:lastRowFirstColumn="0" w:lastRowLastColumn="0"/>
            </w:pPr>
          </w:p>
          <w:p w14:paraId="2582DC74" w14:textId="77777777" w:rsidR="00661DE4" w:rsidRPr="00894F6F" w:rsidRDefault="00661DE4" w:rsidP="00661DE4">
            <w:pPr>
              <w:cnfStyle w:val="000000000000" w:firstRow="0" w:lastRow="0" w:firstColumn="0" w:lastColumn="0" w:oddVBand="0" w:evenVBand="0" w:oddHBand="0" w:evenHBand="0" w:firstRowFirstColumn="0" w:firstRowLastColumn="0" w:lastRowFirstColumn="0" w:lastRowLastColumn="0"/>
            </w:pPr>
          </w:p>
          <w:p w14:paraId="28501C71" w14:textId="77777777" w:rsidR="00661DE4" w:rsidRPr="00894F6F" w:rsidRDefault="00661DE4" w:rsidP="00661DE4">
            <w:pPr>
              <w:cnfStyle w:val="000000000000" w:firstRow="0" w:lastRow="0" w:firstColumn="0" w:lastColumn="0" w:oddVBand="0" w:evenVBand="0" w:oddHBand="0" w:evenHBand="0" w:firstRowFirstColumn="0" w:firstRowLastColumn="0" w:lastRowFirstColumn="0" w:lastRowLastColumn="0"/>
            </w:pPr>
            <w:r w:rsidRPr="00894F6F">
              <w:t>Medium-term</w:t>
            </w:r>
          </w:p>
        </w:tc>
      </w:tr>
      <w:tr w:rsidR="00661DE4" w:rsidRPr="00894F6F" w14:paraId="7B1127D7" w14:textId="77777777" w:rsidTr="00586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Pr>
          <w:p w14:paraId="0F318CCA" w14:textId="77777777" w:rsidR="00661DE4" w:rsidRPr="00894F6F" w:rsidRDefault="00661DE4" w:rsidP="00661DE4">
            <w:pPr>
              <w:rPr>
                <w:rFonts w:asciiTheme="majorHAnsi" w:hAnsiTheme="majorHAnsi" w:cstheme="majorHAnsi"/>
                <w:sz w:val="20"/>
                <w:szCs w:val="20"/>
              </w:rPr>
            </w:pPr>
          </w:p>
        </w:tc>
        <w:tc>
          <w:tcPr>
            <w:tcW w:w="3831" w:type="dxa"/>
          </w:tcPr>
          <w:p w14:paraId="7AF2DC46" w14:textId="77777777" w:rsidR="00661DE4" w:rsidRPr="00D12A00" w:rsidRDefault="00661DE4" w:rsidP="00661DE4">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inorHAnsi"/>
                <w:color w:val="404040" w:themeColor="text1" w:themeTint="BF"/>
                <w:sz w:val="20"/>
                <w:szCs w:val="20"/>
              </w:rPr>
            </w:pPr>
            <w:r>
              <w:rPr>
                <w:rFonts w:cstheme="minorHAnsi"/>
              </w:rPr>
              <w:t>9.</w:t>
            </w:r>
            <w:r w:rsidRPr="00D12A00">
              <w:rPr>
                <w:rFonts w:cstheme="minorHAnsi"/>
              </w:rPr>
              <w:t>To support research into the impacts of gambling and the development of effective harm minimisation strategies.</w:t>
            </w:r>
          </w:p>
        </w:tc>
        <w:tc>
          <w:tcPr>
            <w:tcW w:w="6641" w:type="dxa"/>
          </w:tcPr>
          <w:p w14:paraId="51F960CA" w14:textId="77777777" w:rsidR="00661DE4" w:rsidRPr="00894F6F" w:rsidRDefault="00661DE4" w:rsidP="00661DE4">
            <w:pPr>
              <w:pStyle w:val="Heading1"/>
              <w:spacing w:befor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 xml:space="preserve">9.1 </w:t>
            </w:r>
            <w:r w:rsidRPr="00894F6F">
              <w:rPr>
                <w:rFonts w:asciiTheme="minorHAnsi" w:hAnsiTheme="minorHAnsi" w:cstheme="minorHAnsi"/>
                <w:color w:val="auto"/>
                <w:sz w:val="22"/>
                <w:szCs w:val="22"/>
              </w:rPr>
              <w:t xml:space="preserve">Participate in and or support research undertaken by organisations on the determinants and impacts of gambling environments and behaviours, and effective </w:t>
            </w:r>
            <w:r>
              <w:rPr>
                <w:rFonts w:asciiTheme="minorHAnsi" w:hAnsiTheme="minorHAnsi" w:cstheme="minorHAnsi"/>
                <w:color w:val="auto"/>
                <w:sz w:val="22"/>
                <w:szCs w:val="22"/>
              </w:rPr>
              <w:t xml:space="preserve">harm </w:t>
            </w:r>
            <w:r w:rsidRPr="00894F6F">
              <w:rPr>
                <w:rFonts w:asciiTheme="minorHAnsi" w:hAnsiTheme="minorHAnsi" w:cstheme="minorHAnsi"/>
                <w:color w:val="auto"/>
                <w:sz w:val="22"/>
                <w:szCs w:val="22"/>
              </w:rPr>
              <w:t>prevention and harm minimisation measures.</w:t>
            </w:r>
          </w:p>
        </w:tc>
        <w:tc>
          <w:tcPr>
            <w:tcW w:w="1216" w:type="dxa"/>
          </w:tcPr>
          <w:p w14:paraId="67030CDB" w14:textId="77777777" w:rsidR="00661DE4" w:rsidRPr="00894F6F" w:rsidRDefault="00661DE4" w:rsidP="00661DE4">
            <w:pPr>
              <w:cnfStyle w:val="000000100000" w:firstRow="0" w:lastRow="0" w:firstColumn="0" w:lastColumn="0" w:oddVBand="0" w:evenVBand="0" w:oddHBand="1" w:evenHBand="0" w:firstRowFirstColumn="0" w:firstRowLastColumn="0" w:lastRowFirstColumn="0" w:lastRowLastColumn="0"/>
            </w:pPr>
            <w:r w:rsidRPr="00894F6F">
              <w:t>Ongoing</w:t>
            </w:r>
          </w:p>
        </w:tc>
      </w:tr>
    </w:tbl>
    <w:p w14:paraId="5C324DBA" w14:textId="77777777" w:rsidR="00661DE4" w:rsidRDefault="00661DE4" w:rsidP="00661DE4">
      <w:pPr>
        <w:jc w:val="center"/>
        <w:rPr>
          <w:b/>
          <w:sz w:val="32"/>
          <w:szCs w:val="32"/>
        </w:rPr>
      </w:pPr>
    </w:p>
    <w:p w14:paraId="10DCC4B2" w14:textId="77777777" w:rsidR="00661DE4" w:rsidRDefault="00661DE4" w:rsidP="00661DE4">
      <w:pPr>
        <w:jc w:val="center"/>
        <w:rPr>
          <w:b/>
          <w:sz w:val="32"/>
          <w:szCs w:val="32"/>
        </w:rPr>
      </w:pPr>
    </w:p>
    <w:p w14:paraId="00729844" w14:textId="77777777" w:rsidR="00661DE4" w:rsidRDefault="00661DE4" w:rsidP="00661DE4">
      <w:pPr>
        <w:jc w:val="center"/>
        <w:rPr>
          <w:b/>
          <w:sz w:val="32"/>
          <w:szCs w:val="32"/>
        </w:rPr>
      </w:pPr>
    </w:p>
    <w:p w14:paraId="474813A3" w14:textId="77777777" w:rsidR="00661DE4" w:rsidRDefault="00661DE4" w:rsidP="00661DE4">
      <w:pPr>
        <w:jc w:val="center"/>
        <w:rPr>
          <w:b/>
          <w:sz w:val="32"/>
          <w:szCs w:val="32"/>
        </w:rPr>
      </w:pPr>
    </w:p>
    <w:p w14:paraId="33263121" w14:textId="77777777" w:rsidR="00EF66B8" w:rsidRPr="00894F6F" w:rsidRDefault="00EF66B8" w:rsidP="00661DE4">
      <w:pPr>
        <w:jc w:val="center"/>
        <w:rPr>
          <w:b/>
          <w:sz w:val="32"/>
          <w:szCs w:val="32"/>
        </w:rPr>
      </w:pPr>
    </w:p>
    <w:tbl>
      <w:tblPr>
        <w:tblStyle w:val="GridTable5Dark-Accent4"/>
        <w:tblW w:w="0" w:type="auto"/>
        <w:tblLook w:val="04A0" w:firstRow="1" w:lastRow="0" w:firstColumn="1" w:lastColumn="0" w:noHBand="0" w:noVBand="1"/>
      </w:tblPr>
      <w:tblGrid>
        <w:gridCol w:w="2263"/>
        <w:gridCol w:w="3830"/>
        <w:gridCol w:w="6639"/>
        <w:gridCol w:w="21"/>
        <w:gridCol w:w="1195"/>
      </w:tblGrid>
      <w:tr w:rsidR="00661DE4" w:rsidRPr="00894F6F" w14:paraId="7C3FCD98" w14:textId="77777777" w:rsidTr="005862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5"/>
          </w:tcPr>
          <w:p w14:paraId="5B3786EB" w14:textId="77777777" w:rsidR="00661DE4" w:rsidRPr="00894F6F" w:rsidRDefault="00661DE4" w:rsidP="00661DE4">
            <w:pPr>
              <w:rPr>
                <w:b w:val="0"/>
                <w:bCs w:val="0"/>
                <w:color w:val="auto"/>
                <w:sz w:val="32"/>
                <w:szCs w:val="32"/>
              </w:rPr>
            </w:pPr>
            <w:r w:rsidRPr="001179EF">
              <w:rPr>
                <w:b w:val="0"/>
                <w:sz w:val="32"/>
                <w:szCs w:val="32"/>
              </w:rPr>
              <w:t>Goal 3:  To enable community engaged and informed assessment of current and proposed gaming activity, particularly in the regulatory process.</w:t>
            </w:r>
          </w:p>
        </w:tc>
      </w:tr>
      <w:tr w:rsidR="00661DE4" w:rsidRPr="00894F6F" w14:paraId="554860E9" w14:textId="77777777" w:rsidTr="00586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6BF3376" w14:textId="77777777" w:rsidR="00661DE4" w:rsidRPr="00894F6F" w:rsidRDefault="00661DE4" w:rsidP="00661DE4"/>
        </w:tc>
        <w:tc>
          <w:tcPr>
            <w:tcW w:w="3830" w:type="dxa"/>
          </w:tcPr>
          <w:p w14:paraId="6025F76E" w14:textId="77777777" w:rsidR="00661DE4" w:rsidRPr="00894F6F" w:rsidRDefault="00661DE4" w:rsidP="00661DE4">
            <w:pPr>
              <w:cnfStyle w:val="000000100000" w:firstRow="0" w:lastRow="0" w:firstColumn="0" w:lastColumn="0" w:oddVBand="0" w:evenVBand="0" w:oddHBand="1" w:evenHBand="0" w:firstRowFirstColumn="0" w:firstRowLastColumn="0" w:lastRowFirstColumn="0" w:lastRowLastColumn="0"/>
            </w:pPr>
            <w:r>
              <w:t>Objective</w:t>
            </w:r>
          </w:p>
        </w:tc>
        <w:tc>
          <w:tcPr>
            <w:tcW w:w="6639" w:type="dxa"/>
          </w:tcPr>
          <w:p w14:paraId="2B920E54" w14:textId="77777777" w:rsidR="00661DE4" w:rsidRPr="00894F6F" w:rsidRDefault="00661DE4" w:rsidP="00661DE4">
            <w:pPr>
              <w:cnfStyle w:val="000000100000" w:firstRow="0" w:lastRow="0" w:firstColumn="0" w:lastColumn="0" w:oddVBand="0" w:evenVBand="0" w:oddHBand="1" w:evenHBand="0" w:firstRowFirstColumn="0" w:firstRowLastColumn="0" w:lastRowFirstColumn="0" w:lastRowLastColumn="0"/>
            </w:pPr>
            <w:r w:rsidRPr="00894F6F">
              <w:t>Action</w:t>
            </w:r>
          </w:p>
        </w:tc>
        <w:tc>
          <w:tcPr>
            <w:tcW w:w="1216" w:type="dxa"/>
            <w:gridSpan w:val="2"/>
          </w:tcPr>
          <w:p w14:paraId="1D3C7E6A" w14:textId="77777777" w:rsidR="00661DE4" w:rsidRDefault="00661DE4" w:rsidP="00661DE4">
            <w:pPr>
              <w:cnfStyle w:val="000000100000" w:firstRow="0" w:lastRow="0" w:firstColumn="0" w:lastColumn="0" w:oddVBand="0" w:evenVBand="0" w:oddHBand="1" w:evenHBand="0" w:firstRowFirstColumn="0" w:firstRowLastColumn="0" w:lastRowFirstColumn="0" w:lastRowLastColumn="0"/>
            </w:pPr>
            <w:r w:rsidRPr="00894F6F">
              <w:t>Timing</w:t>
            </w:r>
          </w:p>
          <w:p w14:paraId="34CA7071" w14:textId="77777777" w:rsidR="00661DE4" w:rsidRPr="00894F6F" w:rsidRDefault="00661DE4" w:rsidP="00661DE4">
            <w:pPr>
              <w:cnfStyle w:val="000000100000" w:firstRow="0" w:lastRow="0" w:firstColumn="0" w:lastColumn="0" w:oddVBand="0" w:evenVBand="0" w:oddHBand="1" w:evenHBand="0" w:firstRowFirstColumn="0" w:firstRowLastColumn="0" w:lastRowFirstColumn="0" w:lastRowLastColumn="0"/>
            </w:pPr>
          </w:p>
        </w:tc>
      </w:tr>
      <w:tr w:rsidR="00661DE4" w:rsidRPr="00894F6F" w14:paraId="67492F24" w14:textId="77777777" w:rsidTr="005862F2">
        <w:tc>
          <w:tcPr>
            <w:cnfStyle w:val="001000000000" w:firstRow="0" w:lastRow="0" w:firstColumn="1" w:lastColumn="0" w:oddVBand="0" w:evenVBand="0" w:oddHBand="0" w:evenHBand="0" w:firstRowFirstColumn="0" w:firstRowLastColumn="0" w:lastRowFirstColumn="0" w:lastRowLastColumn="0"/>
            <w:tcW w:w="2263" w:type="dxa"/>
          </w:tcPr>
          <w:p w14:paraId="54BABDE2" w14:textId="77777777" w:rsidR="00661DE4" w:rsidRPr="00894F6F" w:rsidRDefault="00661DE4" w:rsidP="00661DE4">
            <w:pPr>
              <w:rPr>
                <w:rFonts w:cstheme="minorHAnsi"/>
              </w:rPr>
            </w:pPr>
          </w:p>
        </w:tc>
        <w:tc>
          <w:tcPr>
            <w:tcW w:w="3830" w:type="dxa"/>
          </w:tcPr>
          <w:p w14:paraId="1B136EE1" w14:textId="77777777" w:rsidR="00661DE4" w:rsidRPr="00D12A00" w:rsidRDefault="00661DE4" w:rsidP="00661DE4">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inorHAnsi"/>
                <w:b/>
                <w:color w:val="404040" w:themeColor="text1" w:themeTint="BF"/>
                <w:sz w:val="20"/>
                <w:szCs w:val="20"/>
              </w:rPr>
            </w:pPr>
            <w:r w:rsidRPr="00D12A00">
              <w:t>10. To ensure Council’s local planning policy and process meets best practice in the assessment of EGM applications.</w:t>
            </w:r>
          </w:p>
        </w:tc>
        <w:tc>
          <w:tcPr>
            <w:tcW w:w="6660" w:type="dxa"/>
            <w:gridSpan w:val="2"/>
          </w:tcPr>
          <w:p w14:paraId="5391772B" w14:textId="77777777" w:rsidR="00661DE4" w:rsidRPr="007467F3" w:rsidRDefault="00661DE4" w:rsidP="00661DE4">
            <w:pPr>
              <w:pStyle w:val="Heading1"/>
              <w:numPr>
                <w:ilvl w:val="1"/>
                <w:numId w:val="20"/>
              </w:numPr>
              <w:spacing w:befor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Pr="007467F3">
              <w:rPr>
                <w:rFonts w:asciiTheme="minorHAnsi" w:hAnsiTheme="minorHAnsi" w:cstheme="minorHAnsi"/>
                <w:color w:val="auto"/>
                <w:sz w:val="22"/>
                <w:szCs w:val="22"/>
              </w:rPr>
              <w:t xml:space="preserve">Council will review the local planning policy, </w:t>
            </w:r>
            <w:r w:rsidRPr="0054483F">
              <w:rPr>
                <w:rFonts w:asciiTheme="minorHAnsi" w:hAnsiTheme="minorHAnsi" w:cstheme="minorHAnsi"/>
                <w:color w:val="auto"/>
                <w:sz w:val="22"/>
                <w:szCs w:val="22"/>
              </w:rPr>
              <w:t xml:space="preserve">Electronic Gaming Machine Policy </w:t>
            </w:r>
            <w:r w:rsidRPr="007467F3">
              <w:rPr>
                <w:rFonts w:asciiTheme="minorHAnsi" w:hAnsiTheme="minorHAnsi" w:cstheme="minorHAnsi"/>
                <w:color w:val="auto"/>
                <w:sz w:val="22"/>
                <w:szCs w:val="22"/>
              </w:rPr>
              <w:t>Clause 22.03</w:t>
            </w:r>
            <w:r>
              <w:rPr>
                <w:rFonts w:asciiTheme="minorHAnsi" w:hAnsiTheme="minorHAnsi" w:cstheme="minorHAnsi"/>
                <w:color w:val="auto"/>
                <w:sz w:val="22"/>
                <w:szCs w:val="22"/>
              </w:rPr>
              <w:t xml:space="preserve"> of the Wyndham Planning Scheme</w:t>
            </w:r>
            <w:r w:rsidRPr="007467F3">
              <w:rPr>
                <w:rFonts w:asciiTheme="minorHAnsi" w:hAnsiTheme="minorHAnsi" w:cstheme="minorHAnsi"/>
                <w:color w:val="auto"/>
                <w:sz w:val="22"/>
                <w:szCs w:val="22"/>
              </w:rPr>
              <w:t>, to ensure it meets best practice in in</w:t>
            </w:r>
            <w:r>
              <w:rPr>
                <w:rFonts w:asciiTheme="minorHAnsi" w:hAnsiTheme="minorHAnsi" w:cstheme="minorHAnsi"/>
                <w:color w:val="auto"/>
                <w:sz w:val="22"/>
                <w:szCs w:val="22"/>
              </w:rPr>
              <w:t xml:space="preserve"> assessment of EGM applications </w:t>
            </w:r>
          </w:p>
          <w:p w14:paraId="0E9586C3" w14:textId="77777777" w:rsidR="00661DE4" w:rsidRDefault="00661DE4" w:rsidP="00661DE4">
            <w:pPr>
              <w:pStyle w:val="Heading1"/>
              <w:numPr>
                <w:ilvl w:val="0"/>
                <w:numId w:val="19"/>
              </w:numPr>
              <w:spacing w:befor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Engage a consultant to undertake a comprehensive review of Clause 22.03.</w:t>
            </w:r>
          </w:p>
          <w:p w14:paraId="195FAE06" w14:textId="77777777" w:rsidR="00661DE4" w:rsidRPr="00CF43BA" w:rsidRDefault="00661DE4" w:rsidP="00661DE4">
            <w:pPr>
              <w:pStyle w:val="Heading1"/>
              <w:numPr>
                <w:ilvl w:val="0"/>
                <w:numId w:val="19"/>
              </w:numPr>
              <w:spacing w:before="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CF43BA">
              <w:rPr>
                <w:rFonts w:asciiTheme="minorHAnsi" w:hAnsiTheme="minorHAnsi" w:cstheme="minorHAnsi"/>
                <w:color w:val="auto"/>
                <w:sz w:val="22"/>
                <w:szCs w:val="22"/>
              </w:rPr>
              <w:t>Put forward a planning scheme amendment if required</w:t>
            </w:r>
          </w:p>
          <w:p w14:paraId="06A3E517" w14:textId="77777777" w:rsidR="00661DE4" w:rsidRDefault="00661DE4" w:rsidP="00661DE4">
            <w:pPr>
              <w:pStyle w:val="ListParagraph"/>
              <w:ind w:left="420"/>
              <w:cnfStyle w:val="000000000000" w:firstRow="0" w:lastRow="0" w:firstColumn="0" w:lastColumn="0" w:oddVBand="0" w:evenVBand="0" w:oddHBand="0" w:evenHBand="0" w:firstRowFirstColumn="0" w:firstRowLastColumn="0" w:lastRowFirstColumn="0" w:lastRowLastColumn="0"/>
            </w:pPr>
          </w:p>
          <w:p w14:paraId="58984CB7" w14:textId="77777777" w:rsidR="00661DE4" w:rsidRPr="00A11DF2" w:rsidRDefault="00661DE4" w:rsidP="00661DE4">
            <w:pPr>
              <w:pStyle w:val="ListParagraph"/>
              <w:numPr>
                <w:ilvl w:val="1"/>
                <w:numId w:val="16"/>
              </w:numPr>
              <w:spacing w:after="0" w:line="240" w:lineRule="auto"/>
              <w:cnfStyle w:val="000000000000" w:firstRow="0" w:lastRow="0" w:firstColumn="0" w:lastColumn="0" w:oddVBand="0" w:evenVBand="0" w:oddHBand="0" w:evenHBand="0" w:firstRowFirstColumn="0" w:firstRowLastColumn="0" w:lastRowFirstColumn="0" w:lastRowLastColumn="0"/>
            </w:pPr>
            <w:r>
              <w:t>Ensure EGM planning decisions are made in accordance with the policy</w:t>
            </w:r>
          </w:p>
          <w:p w14:paraId="65C3EC82" w14:textId="77777777" w:rsidR="00661DE4" w:rsidRPr="006B5B8D" w:rsidRDefault="00661DE4" w:rsidP="00661DE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10.2 Ensure</w:t>
            </w:r>
            <w:r w:rsidRPr="00D12A00">
              <w:rPr>
                <w:rFonts w:cstheme="minorHAnsi"/>
              </w:rPr>
              <w:t xml:space="preserve"> Council opposes an</w:t>
            </w:r>
            <w:r>
              <w:rPr>
                <w:rFonts w:cstheme="minorHAnsi"/>
              </w:rPr>
              <w:t xml:space="preserve">y application to the VCGLR that </w:t>
            </w:r>
            <w:r w:rsidRPr="006B5B8D">
              <w:rPr>
                <w:rFonts w:cstheme="minorHAnsi"/>
              </w:rPr>
              <w:t>increases or transfers EGMs to areas where there is h</w:t>
            </w:r>
            <w:r>
              <w:rPr>
                <w:rFonts w:cstheme="minorHAnsi"/>
              </w:rPr>
              <w:t xml:space="preserve">igh </w:t>
            </w:r>
            <w:r w:rsidRPr="006B5B8D">
              <w:rPr>
                <w:rFonts w:cstheme="minorHAnsi"/>
              </w:rPr>
              <w:t>socio-economic disadvantage, high EGM expenditure</w:t>
            </w:r>
            <w:r>
              <w:rPr>
                <w:rFonts w:cstheme="minorHAnsi"/>
              </w:rPr>
              <w:t xml:space="preserve">, </w:t>
            </w:r>
            <w:r w:rsidRPr="006B5B8D">
              <w:rPr>
                <w:rFonts w:cstheme="minorHAnsi"/>
              </w:rPr>
              <w:t>and/or high density of EGMs.</w:t>
            </w:r>
          </w:p>
          <w:p w14:paraId="285523E0" w14:textId="77777777" w:rsidR="00661DE4" w:rsidRPr="00D12A00" w:rsidRDefault="00661DE4" w:rsidP="00661DE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10.3 </w:t>
            </w:r>
            <w:r w:rsidRPr="00D12A00">
              <w:rPr>
                <w:rFonts w:cstheme="minorHAnsi"/>
              </w:rPr>
              <w:t>Develop a factsheet to inform applicants and the community of Council’s EGM application processes.</w:t>
            </w:r>
          </w:p>
          <w:p w14:paraId="654E0A63" w14:textId="77777777" w:rsidR="00661DE4" w:rsidRPr="00D12A00" w:rsidRDefault="00661DE4" w:rsidP="00661DE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10.4 </w:t>
            </w:r>
            <w:r w:rsidRPr="00D12A00">
              <w:rPr>
                <w:rFonts w:cstheme="minorHAnsi"/>
              </w:rPr>
              <w:t>Develop guidelines to support and communicate the considerations undertaken in deciding whether to resource representation at VCGLR and VCAT hearings, including those in response to EGM gaming license applications in neighbouring municipalities.</w:t>
            </w:r>
          </w:p>
          <w:p w14:paraId="7DF152C6" w14:textId="77777777" w:rsidR="00661DE4" w:rsidRPr="00894F6F" w:rsidRDefault="00661DE4" w:rsidP="00661DE4">
            <w:pPr>
              <w:jc w:val="center"/>
              <w:cnfStyle w:val="000000000000" w:firstRow="0" w:lastRow="0" w:firstColumn="0" w:lastColumn="0" w:oddVBand="0" w:evenVBand="0" w:oddHBand="0" w:evenHBand="0" w:firstRowFirstColumn="0" w:firstRowLastColumn="0" w:lastRowFirstColumn="0" w:lastRowLastColumn="0"/>
              <w:rPr>
                <w:rFonts w:cstheme="minorHAnsi"/>
                <w:b/>
              </w:rPr>
            </w:pPr>
          </w:p>
        </w:tc>
        <w:tc>
          <w:tcPr>
            <w:tcW w:w="1195" w:type="dxa"/>
          </w:tcPr>
          <w:p w14:paraId="2E017BD4" w14:textId="77777777" w:rsidR="00661DE4" w:rsidRDefault="00661DE4" w:rsidP="00661DE4">
            <w:pPr>
              <w:cnfStyle w:val="000000000000" w:firstRow="0" w:lastRow="0" w:firstColumn="0" w:lastColumn="0" w:oddVBand="0" w:evenVBand="0" w:oddHBand="0" w:evenHBand="0" w:firstRowFirstColumn="0" w:firstRowLastColumn="0" w:lastRowFirstColumn="0" w:lastRowLastColumn="0"/>
            </w:pPr>
            <w:r>
              <w:t>Short term</w:t>
            </w:r>
          </w:p>
          <w:p w14:paraId="09F83E46" w14:textId="77777777" w:rsidR="00661DE4" w:rsidRDefault="00661DE4" w:rsidP="00661DE4">
            <w:pPr>
              <w:cnfStyle w:val="000000000000" w:firstRow="0" w:lastRow="0" w:firstColumn="0" w:lastColumn="0" w:oddVBand="0" w:evenVBand="0" w:oddHBand="0" w:evenHBand="0" w:firstRowFirstColumn="0" w:firstRowLastColumn="0" w:lastRowFirstColumn="0" w:lastRowLastColumn="0"/>
            </w:pPr>
          </w:p>
          <w:p w14:paraId="1379B722" w14:textId="77777777" w:rsidR="00661DE4" w:rsidRDefault="00661DE4" w:rsidP="00661DE4">
            <w:pPr>
              <w:cnfStyle w:val="000000000000" w:firstRow="0" w:lastRow="0" w:firstColumn="0" w:lastColumn="0" w:oddVBand="0" w:evenVBand="0" w:oddHBand="0" w:evenHBand="0" w:firstRowFirstColumn="0" w:firstRowLastColumn="0" w:lastRowFirstColumn="0" w:lastRowLastColumn="0"/>
            </w:pPr>
          </w:p>
          <w:p w14:paraId="3F735391" w14:textId="77777777" w:rsidR="00661DE4" w:rsidRPr="00894F6F" w:rsidRDefault="00661DE4" w:rsidP="00661DE4">
            <w:pPr>
              <w:cnfStyle w:val="000000000000" w:firstRow="0" w:lastRow="0" w:firstColumn="0" w:lastColumn="0" w:oddVBand="0" w:evenVBand="0" w:oddHBand="0" w:evenHBand="0" w:firstRowFirstColumn="0" w:firstRowLastColumn="0" w:lastRowFirstColumn="0" w:lastRowLastColumn="0"/>
            </w:pPr>
          </w:p>
          <w:p w14:paraId="4659AEB4" w14:textId="77777777" w:rsidR="00661DE4" w:rsidRPr="00894F6F" w:rsidRDefault="00661DE4" w:rsidP="00661DE4">
            <w:pPr>
              <w:cnfStyle w:val="000000000000" w:firstRow="0" w:lastRow="0" w:firstColumn="0" w:lastColumn="0" w:oddVBand="0" w:evenVBand="0" w:oddHBand="0" w:evenHBand="0" w:firstRowFirstColumn="0" w:firstRowLastColumn="0" w:lastRowFirstColumn="0" w:lastRowLastColumn="0"/>
            </w:pPr>
          </w:p>
          <w:p w14:paraId="798FFEBD" w14:textId="77777777" w:rsidR="00661DE4" w:rsidRPr="00894F6F" w:rsidRDefault="00661DE4" w:rsidP="00661DE4">
            <w:pPr>
              <w:cnfStyle w:val="000000000000" w:firstRow="0" w:lastRow="0" w:firstColumn="0" w:lastColumn="0" w:oddVBand="0" w:evenVBand="0" w:oddHBand="0" w:evenHBand="0" w:firstRowFirstColumn="0" w:firstRowLastColumn="0" w:lastRowFirstColumn="0" w:lastRowLastColumn="0"/>
            </w:pPr>
            <w:r>
              <w:t>Medium-term</w:t>
            </w:r>
          </w:p>
          <w:p w14:paraId="242C8037" w14:textId="77777777" w:rsidR="00661DE4" w:rsidRPr="00894F6F" w:rsidRDefault="00661DE4" w:rsidP="00661DE4">
            <w:pPr>
              <w:cnfStyle w:val="000000000000" w:firstRow="0" w:lastRow="0" w:firstColumn="0" w:lastColumn="0" w:oddVBand="0" w:evenVBand="0" w:oddHBand="0" w:evenHBand="0" w:firstRowFirstColumn="0" w:firstRowLastColumn="0" w:lastRowFirstColumn="0" w:lastRowLastColumn="0"/>
            </w:pPr>
            <w:r w:rsidRPr="00894F6F">
              <w:t>Ongoing</w:t>
            </w:r>
          </w:p>
          <w:p w14:paraId="5A3F72A7" w14:textId="77777777" w:rsidR="00661DE4" w:rsidRPr="00894F6F" w:rsidRDefault="00661DE4" w:rsidP="00661DE4">
            <w:pPr>
              <w:cnfStyle w:val="000000000000" w:firstRow="0" w:lastRow="0" w:firstColumn="0" w:lastColumn="0" w:oddVBand="0" w:evenVBand="0" w:oddHBand="0" w:evenHBand="0" w:firstRowFirstColumn="0" w:firstRowLastColumn="0" w:lastRowFirstColumn="0" w:lastRowLastColumn="0"/>
            </w:pPr>
          </w:p>
          <w:p w14:paraId="4F1E651B" w14:textId="77777777" w:rsidR="00661DE4" w:rsidRDefault="00661DE4" w:rsidP="00661DE4">
            <w:pPr>
              <w:cnfStyle w:val="000000000000" w:firstRow="0" w:lastRow="0" w:firstColumn="0" w:lastColumn="0" w:oddVBand="0" w:evenVBand="0" w:oddHBand="0" w:evenHBand="0" w:firstRowFirstColumn="0" w:firstRowLastColumn="0" w:lastRowFirstColumn="0" w:lastRowLastColumn="0"/>
            </w:pPr>
            <w:r>
              <w:t>Short term</w:t>
            </w:r>
          </w:p>
          <w:p w14:paraId="5C19A0FD" w14:textId="77777777" w:rsidR="00661DE4" w:rsidRDefault="00661DE4" w:rsidP="00661DE4">
            <w:pPr>
              <w:cnfStyle w:val="000000000000" w:firstRow="0" w:lastRow="0" w:firstColumn="0" w:lastColumn="0" w:oddVBand="0" w:evenVBand="0" w:oddHBand="0" w:evenHBand="0" w:firstRowFirstColumn="0" w:firstRowLastColumn="0" w:lastRowFirstColumn="0" w:lastRowLastColumn="0"/>
            </w:pPr>
          </w:p>
          <w:p w14:paraId="5E41DE21" w14:textId="77777777" w:rsidR="00661DE4" w:rsidRDefault="00661DE4" w:rsidP="00661DE4">
            <w:pPr>
              <w:cnfStyle w:val="000000000000" w:firstRow="0" w:lastRow="0" w:firstColumn="0" w:lastColumn="0" w:oddVBand="0" w:evenVBand="0" w:oddHBand="0" w:evenHBand="0" w:firstRowFirstColumn="0" w:firstRowLastColumn="0" w:lastRowFirstColumn="0" w:lastRowLastColumn="0"/>
            </w:pPr>
          </w:p>
          <w:p w14:paraId="1FF37820" w14:textId="77777777" w:rsidR="00661DE4" w:rsidRDefault="00661DE4" w:rsidP="00661DE4">
            <w:pPr>
              <w:cnfStyle w:val="000000000000" w:firstRow="0" w:lastRow="0" w:firstColumn="0" w:lastColumn="0" w:oddVBand="0" w:evenVBand="0" w:oddHBand="0" w:evenHBand="0" w:firstRowFirstColumn="0" w:firstRowLastColumn="0" w:lastRowFirstColumn="0" w:lastRowLastColumn="0"/>
            </w:pPr>
          </w:p>
          <w:p w14:paraId="5A5418D3" w14:textId="77777777" w:rsidR="00661DE4" w:rsidRPr="00894F6F" w:rsidRDefault="00661DE4" w:rsidP="00661DE4">
            <w:pPr>
              <w:cnfStyle w:val="000000000000" w:firstRow="0" w:lastRow="0" w:firstColumn="0" w:lastColumn="0" w:oddVBand="0" w:evenVBand="0" w:oddHBand="0" w:evenHBand="0" w:firstRowFirstColumn="0" w:firstRowLastColumn="0" w:lastRowFirstColumn="0" w:lastRowLastColumn="0"/>
            </w:pPr>
            <w:r w:rsidRPr="00894F6F">
              <w:t>Medium-term</w:t>
            </w:r>
          </w:p>
        </w:tc>
      </w:tr>
      <w:tr w:rsidR="00661DE4" w:rsidRPr="00894F6F" w14:paraId="75690199" w14:textId="77777777" w:rsidTr="00586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DA265C5" w14:textId="77777777" w:rsidR="00661DE4" w:rsidRPr="00894F6F" w:rsidRDefault="00661DE4" w:rsidP="00661DE4">
            <w:pPr>
              <w:rPr>
                <w:rFonts w:cstheme="minorHAnsi"/>
              </w:rPr>
            </w:pPr>
          </w:p>
        </w:tc>
        <w:tc>
          <w:tcPr>
            <w:tcW w:w="3830" w:type="dxa"/>
          </w:tcPr>
          <w:p w14:paraId="5A2733C5" w14:textId="77777777" w:rsidR="00661DE4" w:rsidRPr="00D12A00" w:rsidRDefault="00661DE4" w:rsidP="00661DE4">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rPr>
              <w:t>11.</w:t>
            </w:r>
            <w:r w:rsidRPr="00D12A00">
              <w:rPr>
                <w:rFonts w:cstheme="minorHAnsi"/>
              </w:rPr>
              <w:t xml:space="preserve">To inform community leaders and community groups of electronic gaming </w:t>
            </w:r>
            <w:r w:rsidRPr="00D12A00">
              <w:rPr>
                <w:rFonts w:cstheme="minorHAnsi"/>
              </w:rPr>
              <w:lastRenderedPageBreak/>
              <w:t>activity in the municipality, and its impacts</w:t>
            </w:r>
          </w:p>
        </w:tc>
        <w:tc>
          <w:tcPr>
            <w:tcW w:w="6660" w:type="dxa"/>
            <w:gridSpan w:val="2"/>
          </w:tcPr>
          <w:p w14:paraId="2CF9FA7D" w14:textId="77777777" w:rsidR="00661DE4" w:rsidRPr="00D12A00" w:rsidRDefault="00661DE4" w:rsidP="00661DE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 xml:space="preserve">11.1 </w:t>
            </w:r>
            <w:r w:rsidRPr="00D12A00">
              <w:rPr>
                <w:rFonts w:cstheme="minorHAnsi"/>
              </w:rPr>
              <w:t>Establish a gambling information register of interested people, organisations and groups in Wyndham.</w:t>
            </w:r>
          </w:p>
          <w:p w14:paraId="0D0B52CC" w14:textId="77777777" w:rsidR="00661DE4" w:rsidRPr="00D12A00" w:rsidRDefault="00661DE4" w:rsidP="00661DE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 xml:space="preserve">11.2 </w:t>
            </w:r>
            <w:r w:rsidRPr="00D12A00">
              <w:rPr>
                <w:rFonts w:cstheme="minorHAnsi"/>
              </w:rPr>
              <w:t>Promote community awareness on the opportunities to respond to EGM applications by gaming venues:</w:t>
            </w:r>
          </w:p>
          <w:p w14:paraId="0674173B" w14:textId="77777777" w:rsidR="00661DE4" w:rsidRPr="00F30B4E" w:rsidRDefault="00661DE4" w:rsidP="00661DE4">
            <w:pPr>
              <w:pStyle w:val="ListParagraph"/>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F30B4E">
              <w:rPr>
                <w:rFonts w:cstheme="minorHAnsi"/>
              </w:rPr>
              <w:t>Inform and engage the community when there is an application for a new gaming machine venue or an increase in EGMs;</w:t>
            </w:r>
          </w:p>
          <w:p w14:paraId="2EABF1F9" w14:textId="77777777" w:rsidR="00661DE4" w:rsidRPr="00F30B4E" w:rsidRDefault="00661DE4" w:rsidP="00661DE4">
            <w:pPr>
              <w:pStyle w:val="ListParagraph"/>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F30B4E">
              <w:rPr>
                <w:rFonts w:cstheme="minorHAnsi"/>
              </w:rPr>
              <w:t>Circulate information about applications and the process to respond, to participants in the register; and,</w:t>
            </w:r>
          </w:p>
          <w:p w14:paraId="156EB87F" w14:textId="77777777" w:rsidR="00661DE4" w:rsidRPr="00F30B4E" w:rsidRDefault="00661DE4" w:rsidP="00661DE4">
            <w:pPr>
              <w:pStyle w:val="ListParagraph"/>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F30B4E">
              <w:rPr>
                <w:rFonts w:cstheme="minorHAnsi"/>
              </w:rPr>
              <w:t>Advertise on Council’s website the application, timeline and process for public comments.</w:t>
            </w:r>
          </w:p>
          <w:p w14:paraId="53A8AE36" w14:textId="77777777" w:rsidR="00661DE4" w:rsidRPr="00894F6F" w:rsidRDefault="00661DE4" w:rsidP="00661DE4">
            <w:pPr>
              <w:pStyle w:val="Heading1"/>
              <w:numPr>
                <w:ilvl w:val="0"/>
                <w:numId w:val="19"/>
              </w:numPr>
              <w:spacing w:before="0"/>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894F6F">
              <w:rPr>
                <w:rFonts w:asciiTheme="minorHAnsi" w:hAnsiTheme="minorHAnsi" w:cstheme="minorHAnsi"/>
                <w:color w:val="auto"/>
                <w:sz w:val="22"/>
                <w:szCs w:val="22"/>
              </w:rPr>
              <w:t>Inform the Wyndham community about local gambling statistics, preventative programs, community consultations, policies, campaigns, strategies and opposition to applications for EGM licences.</w:t>
            </w:r>
          </w:p>
          <w:p w14:paraId="093031CD" w14:textId="77777777" w:rsidR="00661DE4" w:rsidRPr="00F30B4E" w:rsidRDefault="00661DE4" w:rsidP="00661DE4">
            <w:pPr>
              <w:pStyle w:val="ListParagraph"/>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F30B4E">
              <w:rPr>
                <w:rFonts w:cstheme="minorHAnsi"/>
              </w:rPr>
              <w:t>Support research and data collection that demonstrates the social impact of gambling and clearly communicate the findings of this research to the wider community.</w:t>
            </w:r>
          </w:p>
        </w:tc>
        <w:tc>
          <w:tcPr>
            <w:tcW w:w="1195" w:type="dxa"/>
          </w:tcPr>
          <w:p w14:paraId="18F33355" w14:textId="77777777" w:rsidR="00661DE4" w:rsidRDefault="00661DE4" w:rsidP="00661DE4">
            <w:pPr>
              <w:cnfStyle w:val="000000100000" w:firstRow="0" w:lastRow="0" w:firstColumn="0" w:lastColumn="0" w:oddVBand="0" w:evenVBand="0" w:oddHBand="1" w:evenHBand="0" w:firstRowFirstColumn="0" w:firstRowLastColumn="0" w:lastRowFirstColumn="0" w:lastRowLastColumn="0"/>
            </w:pPr>
            <w:r>
              <w:lastRenderedPageBreak/>
              <w:t>Medium-term</w:t>
            </w:r>
          </w:p>
          <w:p w14:paraId="4504FDA6" w14:textId="77777777" w:rsidR="00661DE4" w:rsidRPr="00894F6F" w:rsidRDefault="00661DE4" w:rsidP="00661DE4">
            <w:pPr>
              <w:cnfStyle w:val="000000100000" w:firstRow="0" w:lastRow="0" w:firstColumn="0" w:lastColumn="0" w:oddVBand="0" w:evenVBand="0" w:oddHBand="1" w:evenHBand="0" w:firstRowFirstColumn="0" w:firstRowLastColumn="0" w:lastRowFirstColumn="0" w:lastRowLastColumn="0"/>
            </w:pPr>
          </w:p>
          <w:p w14:paraId="6B83A4DD" w14:textId="77777777" w:rsidR="00661DE4" w:rsidRPr="00894F6F" w:rsidRDefault="00661DE4" w:rsidP="00661DE4">
            <w:pPr>
              <w:cnfStyle w:val="000000100000" w:firstRow="0" w:lastRow="0" w:firstColumn="0" w:lastColumn="0" w:oddVBand="0" w:evenVBand="0" w:oddHBand="1" w:evenHBand="0" w:firstRowFirstColumn="0" w:firstRowLastColumn="0" w:lastRowFirstColumn="0" w:lastRowLastColumn="0"/>
            </w:pPr>
            <w:r w:rsidRPr="00894F6F">
              <w:t>Medium-term</w:t>
            </w:r>
          </w:p>
          <w:p w14:paraId="3458B124" w14:textId="77777777" w:rsidR="00661DE4" w:rsidRPr="00894F6F" w:rsidRDefault="00661DE4" w:rsidP="00661DE4">
            <w:pPr>
              <w:cnfStyle w:val="000000100000" w:firstRow="0" w:lastRow="0" w:firstColumn="0" w:lastColumn="0" w:oddVBand="0" w:evenVBand="0" w:oddHBand="1" w:evenHBand="0" w:firstRowFirstColumn="0" w:firstRowLastColumn="0" w:lastRowFirstColumn="0" w:lastRowLastColumn="0"/>
            </w:pPr>
          </w:p>
          <w:p w14:paraId="4990797C" w14:textId="77777777" w:rsidR="00661DE4" w:rsidRPr="00894F6F" w:rsidRDefault="00661DE4" w:rsidP="00661DE4">
            <w:pPr>
              <w:cnfStyle w:val="000000100000" w:firstRow="0" w:lastRow="0" w:firstColumn="0" w:lastColumn="0" w:oddVBand="0" w:evenVBand="0" w:oddHBand="1" w:evenHBand="0" w:firstRowFirstColumn="0" w:firstRowLastColumn="0" w:lastRowFirstColumn="0" w:lastRowLastColumn="0"/>
            </w:pPr>
          </w:p>
          <w:p w14:paraId="469167DB" w14:textId="77777777" w:rsidR="00661DE4" w:rsidRPr="00894F6F" w:rsidRDefault="00661DE4" w:rsidP="00661DE4">
            <w:pPr>
              <w:cnfStyle w:val="000000100000" w:firstRow="0" w:lastRow="0" w:firstColumn="0" w:lastColumn="0" w:oddVBand="0" w:evenVBand="0" w:oddHBand="1" w:evenHBand="0" w:firstRowFirstColumn="0" w:firstRowLastColumn="0" w:lastRowFirstColumn="0" w:lastRowLastColumn="0"/>
            </w:pPr>
          </w:p>
          <w:p w14:paraId="534A2648" w14:textId="77777777" w:rsidR="00661DE4" w:rsidRPr="00894F6F" w:rsidRDefault="00661DE4" w:rsidP="00661DE4">
            <w:pPr>
              <w:cnfStyle w:val="000000100000" w:firstRow="0" w:lastRow="0" w:firstColumn="0" w:lastColumn="0" w:oddVBand="0" w:evenVBand="0" w:oddHBand="1" w:evenHBand="0" w:firstRowFirstColumn="0" w:firstRowLastColumn="0" w:lastRowFirstColumn="0" w:lastRowLastColumn="0"/>
            </w:pPr>
          </w:p>
          <w:p w14:paraId="5EAB7D4F" w14:textId="77777777" w:rsidR="00661DE4" w:rsidRPr="00894F6F" w:rsidRDefault="00661DE4" w:rsidP="00661DE4">
            <w:pPr>
              <w:cnfStyle w:val="000000100000" w:firstRow="0" w:lastRow="0" w:firstColumn="0" w:lastColumn="0" w:oddVBand="0" w:evenVBand="0" w:oddHBand="1" w:evenHBand="0" w:firstRowFirstColumn="0" w:firstRowLastColumn="0" w:lastRowFirstColumn="0" w:lastRowLastColumn="0"/>
            </w:pPr>
          </w:p>
          <w:p w14:paraId="73F321C7" w14:textId="77777777" w:rsidR="00661DE4" w:rsidRPr="00894F6F" w:rsidRDefault="00661DE4" w:rsidP="00661DE4">
            <w:pPr>
              <w:cnfStyle w:val="000000100000" w:firstRow="0" w:lastRow="0" w:firstColumn="0" w:lastColumn="0" w:oddVBand="0" w:evenVBand="0" w:oddHBand="1" w:evenHBand="0" w:firstRowFirstColumn="0" w:firstRowLastColumn="0" w:lastRowFirstColumn="0" w:lastRowLastColumn="0"/>
            </w:pPr>
          </w:p>
          <w:p w14:paraId="5163C694" w14:textId="77777777" w:rsidR="00661DE4" w:rsidRPr="00894F6F" w:rsidRDefault="00661DE4" w:rsidP="00661DE4">
            <w:pPr>
              <w:cnfStyle w:val="000000100000" w:firstRow="0" w:lastRow="0" w:firstColumn="0" w:lastColumn="0" w:oddVBand="0" w:evenVBand="0" w:oddHBand="1" w:evenHBand="0" w:firstRowFirstColumn="0" w:firstRowLastColumn="0" w:lastRowFirstColumn="0" w:lastRowLastColumn="0"/>
            </w:pPr>
          </w:p>
          <w:p w14:paraId="7BC5FC32" w14:textId="77777777" w:rsidR="00661DE4" w:rsidRPr="00FB221F" w:rsidRDefault="00661DE4" w:rsidP="00661DE4">
            <w:pPr>
              <w:cnfStyle w:val="000000100000" w:firstRow="0" w:lastRow="0" w:firstColumn="0" w:lastColumn="0" w:oddVBand="0" w:evenVBand="0" w:oddHBand="1" w:evenHBand="0" w:firstRowFirstColumn="0" w:firstRowLastColumn="0" w:lastRowFirstColumn="0" w:lastRowLastColumn="0"/>
            </w:pPr>
            <w:r w:rsidRPr="00894F6F">
              <w:t>Ongoing</w:t>
            </w:r>
          </w:p>
        </w:tc>
      </w:tr>
      <w:tr w:rsidR="00661DE4" w:rsidRPr="00894F6F" w14:paraId="5803BC29" w14:textId="77777777" w:rsidTr="005862F2">
        <w:tc>
          <w:tcPr>
            <w:cnfStyle w:val="001000000000" w:firstRow="0" w:lastRow="0" w:firstColumn="1" w:lastColumn="0" w:oddVBand="0" w:evenVBand="0" w:oddHBand="0" w:evenHBand="0" w:firstRowFirstColumn="0" w:firstRowLastColumn="0" w:lastRowFirstColumn="0" w:lastRowLastColumn="0"/>
            <w:tcW w:w="2263" w:type="dxa"/>
          </w:tcPr>
          <w:p w14:paraId="586F391A" w14:textId="77777777" w:rsidR="00661DE4" w:rsidRPr="00894F6F" w:rsidRDefault="00661DE4" w:rsidP="00661DE4">
            <w:pPr>
              <w:rPr>
                <w:rFonts w:cstheme="minorHAnsi"/>
              </w:rPr>
            </w:pPr>
          </w:p>
        </w:tc>
        <w:tc>
          <w:tcPr>
            <w:tcW w:w="3830" w:type="dxa"/>
          </w:tcPr>
          <w:p w14:paraId="3DEE714A" w14:textId="77777777" w:rsidR="00661DE4" w:rsidRPr="00D12A00" w:rsidRDefault="00661DE4" w:rsidP="00661DE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12.</w:t>
            </w:r>
            <w:r w:rsidRPr="00D12A00">
              <w:rPr>
                <w:rFonts w:cstheme="minorHAnsi"/>
              </w:rPr>
              <w:t>To support and enable community and partner participation in planning decisions concerning gambling activities.</w:t>
            </w:r>
          </w:p>
        </w:tc>
        <w:tc>
          <w:tcPr>
            <w:tcW w:w="6660" w:type="dxa"/>
            <w:gridSpan w:val="2"/>
          </w:tcPr>
          <w:p w14:paraId="7F7CEB5C" w14:textId="77777777" w:rsidR="00661DE4" w:rsidRPr="00D12A00" w:rsidRDefault="00661DE4" w:rsidP="00661DE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12.1</w:t>
            </w:r>
            <w:r w:rsidRPr="00D12A00">
              <w:rPr>
                <w:rFonts w:cstheme="minorHAnsi"/>
              </w:rPr>
              <w:t>Support and encourage members of the community to submit their views about gambling licensing applications, policies and other initiatives.</w:t>
            </w:r>
          </w:p>
          <w:p w14:paraId="765E3390" w14:textId="77777777" w:rsidR="00661DE4" w:rsidRPr="00D12A00" w:rsidRDefault="00661DE4" w:rsidP="00661DE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12.2 </w:t>
            </w:r>
            <w:r w:rsidRPr="00D12A00">
              <w:rPr>
                <w:rFonts w:cstheme="minorHAnsi"/>
              </w:rPr>
              <w:t>Include where possible gambling-related questions in relevant community surveys and consultations to support policy or program development.</w:t>
            </w:r>
          </w:p>
        </w:tc>
        <w:tc>
          <w:tcPr>
            <w:tcW w:w="1195" w:type="dxa"/>
          </w:tcPr>
          <w:p w14:paraId="16ED00FE" w14:textId="77777777" w:rsidR="00661DE4" w:rsidRDefault="00661DE4" w:rsidP="00661DE4">
            <w:pPr>
              <w:cnfStyle w:val="000000000000" w:firstRow="0" w:lastRow="0" w:firstColumn="0" w:lastColumn="0" w:oddVBand="0" w:evenVBand="0" w:oddHBand="0" w:evenHBand="0" w:firstRowFirstColumn="0" w:firstRowLastColumn="0" w:lastRowFirstColumn="0" w:lastRowLastColumn="0"/>
            </w:pPr>
            <w:r w:rsidRPr="00894F6F">
              <w:t>Ongoing</w:t>
            </w:r>
          </w:p>
          <w:p w14:paraId="1D4BD67C" w14:textId="77777777" w:rsidR="00661DE4" w:rsidRPr="00894F6F" w:rsidRDefault="00661DE4" w:rsidP="00661DE4">
            <w:pPr>
              <w:cnfStyle w:val="000000000000" w:firstRow="0" w:lastRow="0" w:firstColumn="0" w:lastColumn="0" w:oddVBand="0" w:evenVBand="0" w:oddHBand="0" w:evenHBand="0" w:firstRowFirstColumn="0" w:firstRowLastColumn="0" w:lastRowFirstColumn="0" w:lastRowLastColumn="0"/>
            </w:pPr>
          </w:p>
          <w:p w14:paraId="01700E18" w14:textId="77777777" w:rsidR="00661DE4" w:rsidRDefault="00661DE4" w:rsidP="00661DE4">
            <w:pPr>
              <w:cnfStyle w:val="000000000000" w:firstRow="0" w:lastRow="0" w:firstColumn="0" w:lastColumn="0" w:oddVBand="0" w:evenVBand="0" w:oddHBand="0" w:evenHBand="0" w:firstRowFirstColumn="0" w:firstRowLastColumn="0" w:lastRowFirstColumn="0" w:lastRowLastColumn="0"/>
            </w:pPr>
          </w:p>
          <w:p w14:paraId="42D9674A" w14:textId="77777777" w:rsidR="00661DE4" w:rsidRPr="00894F6F" w:rsidRDefault="00661DE4" w:rsidP="00661DE4">
            <w:pPr>
              <w:cnfStyle w:val="000000000000" w:firstRow="0" w:lastRow="0" w:firstColumn="0" w:lastColumn="0" w:oddVBand="0" w:evenVBand="0" w:oddHBand="0" w:evenHBand="0" w:firstRowFirstColumn="0" w:firstRowLastColumn="0" w:lastRowFirstColumn="0" w:lastRowLastColumn="0"/>
            </w:pPr>
            <w:r w:rsidRPr="00894F6F">
              <w:t>Ongoing</w:t>
            </w:r>
          </w:p>
          <w:p w14:paraId="295C610B" w14:textId="77777777" w:rsidR="00661DE4" w:rsidRPr="00894F6F" w:rsidRDefault="00661DE4" w:rsidP="00661DE4">
            <w:pPr>
              <w:cnfStyle w:val="000000000000" w:firstRow="0" w:lastRow="0" w:firstColumn="0" w:lastColumn="0" w:oddVBand="0" w:evenVBand="0" w:oddHBand="0" w:evenHBand="0" w:firstRowFirstColumn="0" w:firstRowLastColumn="0" w:lastRowFirstColumn="0" w:lastRowLastColumn="0"/>
            </w:pPr>
          </w:p>
        </w:tc>
      </w:tr>
    </w:tbl>
    <w:p w14:paraId="22565095" w14:textId="77777777" w:rsidR="00661DE4" w:rsidRDefault="00661DE4" w:rsidP="00661DE4">
      <w:pPr>
        <w:jc w:val="center"/>
        <w:rPr>
          <w:b/>
          <w:sz w:val="32"/>
          <w:szCs w:val="32"/>
        </w:rPr>
      </w:pPr>
    </w:p>
    <w:p w14:paraId="645E15E1" w14:textId="77777777" w:rsidR="00661DE4" w:rsidRPr="005862F2" w:rsidRDefault="00661DE4" w:rsidP="00661DE4">
      <w:pPr>
        <w:rPr>
          <w:b/>
          <w:color w:val="7030A0"/>
          <w:sz w:val="32"/>
          <w:szCs w:val="32"/>
        </w:rPr>
      </w:pPr>
    </w:p>
    <w:p w14:paraId="087A49F5" w14:textId="77777777" w:rsidR="00661DE4" w:rsidRPr="005862F2" w:rsidRDefault="00661DE4" w:rsidP="00661DE4">
      <w:pPr>
        <w:pStyle w:val="Heading1"/>
        <w:rPr>
          <w:b/>
          <w:color w:val="7030A0"/>
        </w:rPr>
      </w:pPr>
      <w:bookmarkStart w:id="10" w:name="_Toc502675770"/>
      <w:r w:rsidRPr="005862F2">
        <w:rPr>
          <w:b/>
          <w:color w:val="7030A0"/>
        </w:rPr>
        <w:t>MONITORING AND EVALUATION</w:t>
      </w:r>
      <w:bookmarkEnd w:id="10"/>
    </w:p>
    <w:p w14:paraId="56740116" w14:textId="77777777" w:rsidR="00661DE4" w:rsidRPr="00894F6F" w:rsidRDefault="00661DE4" w:rsidP="00661DE4">
      <w:pPr>
        <w:autoSpaceDE w:val="0"/>
        <w:autoSpaceDN w:val="0"/>
        <w:adjustRightInd w:val="0"/>
        <w:spacing w:after="0" w:line="240" w:lineRule="auto"/>
        <w:rPr>
          <w:rFonts w:ascii="Calibri" w:hAnsi="Calibri" w:cs="Calibri"/>
          <w:color w:val="000000"/>
        </w:rPr>
        <w:sectPr w:rsidR="00661DE4" w:rsidRPr="00894F6F" w:rsidSect="00661DE4">
          <w:pgSz w:w="16838" w:h="11906" w:orient="landscape"/>
          <w:pgMar w:top="1440" w:right="1440" w:bottom="1440" w:left="1440" w:header="708" w:footer="708" w:gutter="0"/>
          <w:cols w:space="708"/>
          <w:docGrid w:linePitch="360"/>
        </w:sectPr>
      </w:pPr>
      <w:r w:rsidRPr="00894F6F">
        <w:rPr>
          <w:rFonts w:ascii="Calibri" w:hAnsi="Calibri" w:cs="Calibri"/>
          <w:color w:val="000000"/>
        </w:rPr>
        <w:t xml:space="preserve">Ongoing monitoring will occur for the policy, with a </w:t>
      </w:r>
      <w:r>
        <w:rPr>
          <w:rFonts w:ascii="Calibri" w:hAnsi="Calibri" w:cs="Calibri"/>
          <w:color w:val="000000"/>
        </w:rPr>
        <w:t xml:space="preserve">full </w:t>
      </w:r>
      <w:r w:rsidRPr="00894F6F">
        <w:rPr>
          <w:rFonts w:ascii="Calibri" w:hAnsi="Calibri" w:cs="Calibri"/>
          <w:color w:val="000000"/>
        </w:rPr>
        <w:t>review undertaken in 2022. The review will identify what has been achieved since the policy adoption, ensure the</w:t>
      </w:r>
      <w:r w:rsidRPr="00894F6F">
        <w:rPr>
          <w:rFonts w:ascii="Calibri" w:hAnsi="Calibri"/>
        </w:rPr>
        <w:t xml:space="preserve"> policy is still in alignment with state a</w:t>
      </w:r>
      <w:r>
        <w:rPr>
          <w:rFonts w:ascii="Calibri" w:hAnsi="Calibri"/>
        </w:rPr>
        <w:t xml:space="preserve">nd federal policy changes and </w:t>
      </w:r>
      <w:r w:rsidRPr="00894F6F">
        <w:rPr>
          <w:rFonts w:ascii="Calibri" w:hAnsi="Calibri"/>
        </w:rPr>
        <w:t xml:space="preserve">incorporate any changes within </w:t>
      </w:r>
      <w:r>
        <w:rPr>
          <w:rFonts w:ascii="Calibri" w:hAnsi="Calibri"/>
        </w:rPr>
        <w:t>community and stakeholder needs.</w:t>
      </w:r>
    </w:p>
    <w:p w14:paraId="3B5A94F7" w14:textId="77777777" w:rsidR="00661DE4" w:rsidRPr="005862F2" w:rsidRDefault="00661DE4" w:rsidP="00661DE4">
      <w:pPr>
        <w:pStyle w:val="Heading1"/>
        <w:rPr>
          <w:b/>
          <w:color w:val="7030A0"/>
        </w:rPr>
      </w:pPr>
      <w:bookmarkStart w:id="11" w:name="_Toc502675763"/>
      <w:bookmarkEnd w:id="9"/>
      <w:r w:rsidRPr="005862F2">
        <w:rPr>
          <w:b/>
          <w:color w:val="7030A0"/>
        </w:rPr>
        <w:lastRenderedPageBreak/>
        <w:t>PART 2: THE EVIDENCE BASE</w:t>
      </w:r>
    </w:p>
    <w:p w14:paraId="1D1197C2" w14:textId="77777777" w:rsidR="00661DE4" w:rsidRPr="00267AB6" w:rsidRDefault="00661DE4" w:rsidP="00661DE4">
      <w:pPr>
        <w:pStyle w:val="Heading1"/>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This section outlines the different components of the evidence base that underpin Wyndham’s Gambling Harm Minimisation Policy and Action Plan.</w:t>
      </w:r>
    </w:p>
    <w:p w14:paraId="46F7A0A7" w14:textId="77777777" w:rsidR="00661DE4" w:rsidRPr="005862F2" w:rsidRDefault="00661DE4" w:rsidP="00661DE4">
      <w:pPr>
        <w:pStyle w:val="Heading1"/>
        <w:rPr>
          <w:b/>
          <w:color w:val="7030A0"/>
        </w:rPr>
      </w:pPr>
      <w:r w:rsidRPr="005862F2">
        <w:rPr>
          <w:b/>
          <w:color w:val="7030A0"/>
        </w:rPr>
        <w:t>Demographic and socio-economic profile of Wyndham</w:t>
      </w:r>
    </w:p>
    <w:p w14:paraId="24DB02D5" w14:textId="77777777" w:rsidR="00661DE4" w:rsidRPr="00894F6F" w:rsidRDefault="00661DE4" w:rsidP="00661DE4">
      <w:pPr>
        <w:spacing w:after="0" w:line="240" w:lineRule="auto"/>
        <w:rPr>
          <w:rFonts w:eastAsiaTheme="minorEastAsia"/>
          <w:lang w:eastAsia="ja-JP"/>
        </w:rPr>
      </w:pPr>
    </w:p>
    <w:p w14:paraId="010868E5" w14:textId="77777777" w:rsidR="00661DE4" w:rsidRPr="00894F6F" w:rsidRDefault="00661DE4" w:rsidP="00661DE4">
      <w:pPr>
        <w:spacing w:after="0" w:line="240" w:lineRule="auto"/>
        <w:rPr>
          <w:rFonts w:eastAsiaTheme="minorEastAsia"/>
          <w:lang w:eastAsia="ja-JP"/>
        </w:rPr>
      </w:pPr>
      <w:r w:rsidRPr="00894F6F">
        <w:rPr>
          <w:rFonts w:eastAsiaTheme="minorEastAsia"/>
          <w:lang w:eastAsia="ja-JP"/>
        </w:rPr>
        <w:t>Wyndham is the second fastest growing municipality in Victoria</w:t>
      </w:r>
      <w:r w:rsidRPr="00894F6F">
        <w:rPr>
          <w:rFonts w:eastAsiaTheme="minorEastAsia"/>
          <w:vertAlign w:val="superscript"/>
          <w:lang w:eastAsia="ja-JP"/>
        </w:rPr>
        <w:footnoteReference w:id="2"/>
      </w:r>
      <w:r w:rsidRPr="00894F6F">
        <w:rPr>
          <w:rFonts w:eastAsiaTheme="minorEastAsia"/>
          <w:lang w:eastAsia="ja-JP"/>
        </w:rPr>
        <w:t>. As a designated growth area, the municipality is anticipated to experience significant residential growth over the next twenty years. The current population of the City is forecast at 238,773 (as at January 2018), with a projected population of 435,832 in 2036</w:t>
      </w:r>
      <w:r w:rsidRPr="00894F6F">
        <w:rPr>
          <w:rFonts w:eastAsiaTheme="minorEastAsia"/>
          <w:vertAlign w:val="superscript"/>
          <w:lang w:eastAsia="ja-JP"/>
        </w:rPr>
        <w:footnoteReference w:id="3"/>
      </w:r>
      <w:r w:rsidRPr="00894F6F">
        <w:rPr>
          <w:rFonts w:eastAsiaTheme="minorEastAsia"/>
          <w:lang w:eastAsia="ja-JP"/>
        </w:rPr>
        <w:t>.</w:t>
      </w:r>
    </w:p>
    <w:p w14:paraId="3AACBF8E" w14:textId="77777777" w:rsidR="00661DE4" w:rsidRDefault="00661DE4" w:rsidP="00661DE4">
      <w:pPr>
        <w:pStyle w:val="NoSpacing"/>
      </w:pPr>
    </w:p>
    <w:p w14:paraId="103D846E" w14:textId="77777777" w:rsidR="00661DE4" w:rsidRDefault="00661DE4" w:rsidP="00661DE4">
      <w:pPr>
        <w:pStyle w:val="NoSpacing"/>
      </w:pPr>
      <w:r>
        <w:t>Wyndham has a relatively young population where the median age is 32years and almost half of all households are couples with children. It is also a culturally diverse city; a large proportion of the population is born overseas (42% in 2016) and speaks a language other than English at home (41% in 2016)</w:t>
      </w:r>
      <w:r>
        <w:rPr>
          <w:rStyle w:val="FootnoteReference"/>
        </w:rPr>
        <w:footnoteReference w:id="4"/>
      </w:r>
      <w:r>
        <w:t>. Between 2011 and 2016, almost all of the increase from net migration came from residents who were born overseas.</w:t>
      </w:r>
    </w:p>
    <w:p w14:paraId="230E26BC" w14:textId="77777777" w:rsidR="00661DE4" w:rsidRDefault="00661DE4" w:rsidP="00661DE4">
      <w:pPr>
        <w:pStyle w:val="NoSpacing"/>
      </w:pPr>
    </w:p>
    <w:p w14:paraId="70F0CBAB" w14:textId="77777777" w:rsidR="00661DE4" w:rsidRDefault="00661DE4" w:rsidP="00661DE4">
      <w:r>
        <w:t>Despite the increase in the educational attainment levels of Wyndham residents in the past five years and the continued relative affordable housing that is available, there is still significant disadvantage in Wyndham; unemployment is higher than Greater Melbourne and Victoria</w:t>
      </w:r>
      <w:r>
        <w:rPr>
          <w:rStyle w:val="FootnoteReference"/>
        </w:rPr>
        <w:footnoteReference w:id="5"/>
      </w:r>
      <w:r>
        <w:rPr>
          <w:vertAlign w:val="superscript"/>
        </w:rPr>
        <w:t xml:space="preserve"> </w:t>
      </w:r>
      <w:r>
        <w:t>and there are high levels of rental evictions and mortgage delinquency,</w:t>
      </w:r>
      <w:r>
        <w:rPr>
          <w:rStyle w:val="FootnoteReference"/>
        </w:rPr>
        <w:footnoteReference w:id="6"/>
      </w:r>
      <w:r>
        <w:t xml:space="preserve">  as well as growing levels of family violence</w:t>
      </w:r>
      <w:r>
        <w:rPr>
          <w:rStyle w:val="FootnoteReference"/>
        </w:rPr>
        <w:footnoteReference w:id="7"/>
      </w:r>
      <w:r>
        <w:t>.</w:t>
      </w:r>
    </w:p>
    <w:p w14:paraId="60C24300" w14:textId="77777777" w:rsidR="00661DE4" w:rsidRDefault="00661DE4" w:rsidP="00661DE4">
      <w:pPr>
        <w:rPr>
          <w:rFonts w:ascii="Calibri" w:eastAsia="Times New Roman" w:hAnsi="Calibri" w:cs="Times New Roman"/>
          <w:szCs w:val="24"/>
        </w:rPr>
      </w:pPr>
      <w:r w:rsidRPr="0074058D">
        <w:rPr>
          <w:rFonts w:ascii="Calibri" w:eastAsia="Times New Roman" w:hAnsi="Calibri" w:cs="Times New Roman"/>
          <w:szCs w:val="24"/>
        </w:rPr>
        <w:t>One way to capture socio-economic disadvantage is by means of the Social Economic Indexes for</w:t>
      </w:r>
      <w:r w:rsidRPr="00BC1CE6">
        <w:rPr>
          <w:rFonts w:ascii="Calibri" w:eastAsia="Times New Roman" w:hAnsi="Calibri" w:cs="Times New Roman"/>
          <w:szCs w:val="24"/>
        </w:rPr>
        <w:t xml:space="preserve"> Areas (SEIFA)</w:t>
      </w:r>
      <w:r>
        <w:rPr>
          <w:rFonts w:ascii="Calibri" w:eastAsia="Times New Roman" w:hAnsi="Calibri" w:cs="Times New Roman"/>
          <w:szCs w:val="24"/>
        </w:rPr>
        <w:t xml:space="preserve"> – the Index of Relative Socio-economic Disadvantage (IRSD) in particular. This is a set of four indices that measure </w:t>
      </w:r>
      <w:r w:rsidRPr="00E55434">
        <w:rPr>
          <w:rFonts w:ascii="Calibri" w:eastAsia="Times New Roman" w:hAnsi="Calibri" w:cs="Times New Roman"/>
          <w:szCs w:val="24"/>
        </w:rPr>
        <w:t>relative socio-economic advantage and disadvantage</w:t>
      </w:r>
      <w:r>
        <w:rPr>
          <w:rFonts w:ascii="Calibri" w:eastAsia="Times New Roman" w:hAnsi="Calibri" w:cs="Times New Roman"/>
          <w:szCs w:val="24"/>
        </w:rPr>
        <w:t xml:space="preserve"> of people across areas at a particular point in time – the latest available information is from 2011. </w:t>
      </w:r>
      <w:r w:rsidRPr="004B5C97">
        <w:rPr>
          <w:rFonts w:ascii="Calibri" w:eastAsia="Times New Roman" w:hAnsi="Calibri" w:cs="Times New Roman"/>
          <w:szCs w:val="24"/>
        </w:rPr>
        <w:t xml:space="preserve">The </w:t>
      </w:r>
      <w:r>
        <w:rPr>
          <w:rFonts w:ascii="Calibri" w:eastAsia="Times New Roman" w:hAnsi="Calibri" w:cs="Times New Roman"/>
          <w:szCs w:val="24"/>
        </w:rPr>
        <w:t>Index</w:t>
      </w:r>
      <w:r w:rsidRPr="004B5C97">
        <w:rPr>
          <w:rFonts w:ascii="Calibri" w:eastAsia="Times New Roman" w:hAnsi="Calibri" w:cs="Times New Roman"/>
          <w:szCs w:val="24"/>
        </w:rPr>
        <w:t xml:space="preserve"> provide</w:t>
      </w:r>
      <w:r>
        <w:rPr>
          <w:rFonts w:ascii="Calibri" w:eastAsia="Times New Roman" w:hAnsi="Calibri" w:cs="Times New Roman"/>
          <w:szCs w:val="24"/>
        </w:rPr>
        <w:t>s</w:t>
      </w:r>
      <w:r w:rsidRPr="004B5C97">
        <w:rPr>
          <w:rFonts w:ascii="Calibri" w:eastAsia="Times New Roman" w:hAnsi="Calibri" w:cs="Times New Roman"/>
          <w:szCs w:val="24"/>
        </w:rPr>
        <w:t xml:space="preserve"> </w:t>
      </w:r>
      <w:r>
        <w:rPr>
          <w:rFonts w:ascii="Calibri" w:eastAsia="Times New Roman" w:hAnsi="Calibri" w:cs="Times New Roman"/>
          <w:szCs w:val="24"/>
        </w:rPr>
        <w:t>a comparative score of disadvantage with a lower score on the index meaning</w:t>
      </w:r>
      <w:r w:rsidRPr="00BC1CE6">
        <w:rPr>
          <w:rFonts w:ascii="Calibri" w:eastAsia="Times New Roman" w:hAnsi="Calibri" w:cs="Times New Roman"/>
          <w:szCs w:val="24"/>
        </w:rPr>
        <w:t xml:space="preserve"> </w:t>
      </w:r>
      <w:r>
        <w:rPr>
          <w:rFonts w:ascii="Calibri" w:eastAsia="Times New Roman" w:hAnsi="Calibri" w:cs="Times New Roman"/>
          <w:szCs w:val="24"/>
        </w:rPr>
        <w:t>that an area is comparatively disadvantaged</w:t>
      </w:r>
      <w:r w:rsidRPr="00BC1CE6">
        <w:rPr>
          <w:rFonts w:ascii="Calibri" w:eastAsia="Times New Roman" w:hAnsi="Calibri" w:cs="Times New Roman"/>
          <w:szCs w:val="24"/>
        </w:rPr>
        <w:t>.</w:t>
      </w:r>
      <w:r>
        <w:rPr>
          <w:rFonts w:ascii="Calibri" w:eastAsia="Times New Roman" w:hAnsi="Calibri" w:cs="Times New Roman"/>
          <w:szCs w:val="24"/>
        </w:rPr>
        <w:t xml:space="preserve"> The index also ranks areas according to deciles, where the first decile contains the bottom 10% of scores and so on.</w:t>
      </w:r>
    </w:p>
    <w:p w14:paraId="179135C9" w14:textId="77777777" w:rsidR="00661DE4" w:rsidRPr="00C72900" w:rsidRDefault="00661DE4" w:rsidP="00661DE4">
      <w:pPr>
        <w:rPr>
          <w:rFonts w:ascii="Calibri" w:eastAsia="Times New Roman" w:hAnsi="Calibri" w:cs="Times New Roman"/>
          <w:szCs w:val="24"/>
        </w:rPr>
      </w:pPr>
      <w:r>
        <w:rPr>
          <w:rFonts w:ascii="Calibri" w:eastAsia="Times New Roman" w:hAnsi="Calibri" w:cs="Times New Roman"/>
          <w:szCs w:val="24"/>
        </w:rPr>
        <w:t xml:space="preserve"> Among Wyndham suburbs the scores and deciles vary substantially as the following chart shows. In 2011 </w:t>
      </w:r>
      <w:r>
        <w:t xml:space="preserve">Laverton North was by far the most disadvantaged area in Wyndham, followed by Werribee, Hoppers Crossing, Wyndham Vale and Mount Cottrell. All of these suburbs are in the lowest 50% of all Australian suburbs. It is important to note that nine of Wyndham’s 13 venues that have EGMs are in Werribee and Hoppers Crossing. </w:t>
      </w:r>
    </w:p>
    <w:p w14:paraId="38C9313E" w14:textId="77777777" w:rsidR="00661DE4" w:rsidRDefault="00661DE4" w:rsidP="00661DE4">
      <w:pPr>
        <w:pStyle w:val="Caption"/>
        <w:spacing w:line="276" w:lineRule="auto"/>
      </w:pPr>
    </w:p>
    <w:p w14:paraId="1972ED78" w14:textId="77777777" w:rsidR="00661DE4" w:rsidRDefault="00661DE4" w:rsidP="00661DE4">
      <w:pPr>
        <w:pStyle w:val="Caption"/>
        <w:spacing w:line="276" w:lineRule="auto"/>
      </w:pPr>
    </w:p>
    <w:p w14:paraId="690CD52E" w14:textId="77777777" w:rsidR="00661DE4" w:rsidRDefault="00661DE4" w:rsidP="00661DE4">
      <w:pPr>
        <w:pStyle w:val="Caption"/>
        <w:spacing w:line="276" w:lineRule="auto"/>
      </w:pPr>
    </w:p>
    <w:p w14:paraId="2C5B3595" w14:textId="77777777" w:rsidR="00661DE4" w:rsidRDefault="00661DE4" w:rsidP="00661DE4">
      <w:pPr>
        <w:pStyle w:val="Caption"/>
        <w:spacing w:line="276" w:lineRule="auto"/>
      </w:pPr>
    </w:p>
    <w:p w14:paraId="42234FDF" w14:textId="77777777" w:rsidR="00661DE4" w:rsidRDefault="00661DE4" w:rsidP="00661DE4">
      <w:pPr>
        <w:pStyle w:val="Caption"/>
        <w:spacing w:line="276" w:lineRule="auto"/>
      </w:pPr>
    </w:p>
    <w:p w14:paraId="5FBC076F" w14:textId="77777777" w:rsidR="00661DE4" w:rsidRPr="00894F6F" w:rsidRDefault="00661DE4" w:rsidP="00661DE4">
      <w:pPr>
        <w:pStyle w:val="Caption"/>
        <w:spacing w:line="276" w:lineRule="auto"/>
        <w:rPr>
          <w:color w:val="000000" w:themeColor="text1"/>
          <w:sz w:val="22"/>
          <w:szCs w:val="22"/>
        </w:rPr>
      </w:pPr>
      <w:r w:rsidRPr="00894F6F">
        <w:t>Chart:</w:t>
      </w:r>
      <w:r w:rsidRPr="00894F6F">
        <w:rPr>
          <w:color w:val="000000" w:themeColor="text1"/>
          <w:sz w:val="22"/>
          <w:szCs w:val="22"/>
        </w:rPr>
        <w:t xml:space="preserve"> SEIFA IRSD, SSC Index Scores and Decile Ranking Within Australia, Wyndham, 2011</w:t>
      </w:r>
    </w:p>
    <w:p w14:paraId="4B761CF8" w14:textId="77777777" w:rsidR="00661DE4" w:rsidRPr="00894F6F" w:rsidRDefault="00661DE4" w:rsidP="00661DE4">
      <w:pPr>
        <w:rPr>
          <w:rFonts w:ascii="Calibri" w:eastAsia="Times New Roman" w:hAnsi="Calibri" w:cs="Times New Roman"/>
          <w:szCs w:val="24"/>
        </w:rPr>
      </w:pPr>
      <w:r w:rsidRPr="00894F6F">
        <w:rPr>
          <w:noProof/>
          <w:lang w:val="en-US"/>
        </w:rPr>
        <w:drawing>
          <wp:inline distT="0" distB="0" distL="0" distR="0" wp14:anchorId="04685136" wp14:editId="31002DE7">
            <wp:extent cx="5731510" cy="3494595"/>
            <wp:effectExtent l="0" t="0" r="2540" b="1079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894F6F">
        <w:rPr>
          <w:sz w:val="16"/>
          <w:szCs w:val="16"/>
        </w:rPr>
        <w:t>Source: Australian Bureau of Statistics 2013, Census of Population and Housing: Socio-Economic Indexes for Areas (SEIFA), Australia, 2011, Cat 2033.0.55.001 &lt;http://www.abs.gov.au/AUSSTATS/abs@.nsf/DetailsPage/2033.0.55.0012011?OpenDocument&gt;, analysis by Wyndham City Council</w:t>
      </w:r>
    </w:p>
    <w:p w14:paraId="0D42224D" w14:textId="77777777" w:rsidR="00661DE4" w:rsidRDefault="00661DE4" w:rsidP="00661DE4">
      <w:r>
        <w:br w:type="page"/>
      </w:r>
    </w:p>
    <w:p w14:paraId="3D2A8D09" w14:textId="77777777" w:rsidR="00661DE4" w:rsidRPr="005862F2" w:rsidRDefault="00661DE4" w:rsidP="00661DE4">
      <w:pPr>
        <w:pStyle w:val="Heading1"/>
        <w:rPr>
          <w:rFonts w:ascii="Calibri Body" w:hAnsi="Calibri Body"/>
          <w:b/>
          <w:color w:val="7030A0"/>
        </w:rPr>
      </w:pPr>
    </w:p>
    <w:p w14:paraId="24715A6D" w14:textId="77777777" w:rsidR="00661DE4" w:rsidRPr="005862F2" w:rsidRDefault="00661DE4" w:rsidP="00661DE4">
      <w:pPr>
        <w:pStyle w:val="Heading1"/>
        <w:rPr>
          <w:b/>
          <w:color w:val="7030A0"/>
        </w:rPr>
      </w:pPr>
      <w:r w:rsidRPr="005862F2">
        <w:rPr>
          <w:b/>
          <w:color w:val="7030A0"/>
        </w:rPr>
        <w:t>Wyndham Community Attitudes to Gambling</w:t>
      </w:r>
      <w:bookmarkEnd w:id="11"/>
    </w:p>
    <w:p w14:paraId="2BA6DE5E" w14:textId="77777777" w:rsidR="00661DE4" w:rsidRPr="00894F6F" w:rsidRDefault="00661DE4" w:rsidP="00661DE4">
      <w:r w:rsidRPr="00894F6F">
        <w:t>As part of the development of the Policy, Council consulted with the community to learn more about the attitudes towards EGMs and online gamblin</w:t>
      </w:r>
      <w:r>
        <w:t>g and the level of harm it is</w:t>
      </w:r>
      <w:r w:rsidRPr="00894F6F">
        <w:t xml:space="preserve"> causing.  </w:t>
      </w:r>
      <w:r>
        <w:t>This feedback has been used to inform this policy and the actions outlined in the action plan.</w:t>
      </w:r>
    </w:p>
    <w:p w14:paraId="3BAD7CAA" w14:textId="77777777" w:rsidR="00661DE4" w:rsidRPr="00894F6F" w:rsidRDefault="00661DE4" w:rsidP="00661DE4">
      <w:r w:rsidRPr="00894F6F">
        <w:t>The aim of the survey was:</w:t>
      </w:r>
    </w:p>
    <w:p w14:paraId="0994484C" w14:textId="77777777" w:rsidR="00661DE4" w:rsidRPr="00894F6F" w:rsidRDefault="00661DE4" w:rsidP="00661DE4">
      <w:pPr>
        <w:pStyle w:val="NoSpacing"/>
        <w:numPr>
          <w:ilvl w:val="0"/>
          <w:numId w:val="12"/>
        </w:numPr>
      </w:pPr>
      <w:r w:rsidRPr="00894F6F">
        <w:t>To assess perceived level of community benefit and/or harm caused by EGMs in Wyndham</w:t>
      </w:r>
      <w:r w:rsidRPr="00894F6F">
        <w:rPr>
          <w:rStyle w:val="FootnoteReference"/>
        </w:rPr>
        <w:footnoteReference w:id="8"/>
      </w:r>
      <w:r w:rsidRPr="00894F6F">
        <w:t>.</w:t>
      </w:r>
    </w:p>
    <w:p w14:paraId="18A64A7A" w14:textId="77777777" w:rsidR="00661DE4" w:rsidRPr="00894F6F" w:rsidRDefault="00661DE4" w:rsidP="00661DE4">
      <w:pPr>
        <w:pStyle w:val="NoSpacing"/>
        <w:numPr>
          <w:ilvl w:val="0"/>
          <w:numId w:val="12"/>
        </w:numPr>
      </w:pPr>
      <w:r w:rsidRPr="00894F6F">
        <w:t xml:space="preserve">To assess perceived level of community benefit and/or harm caused by </w:t>
      </w:r>
      <w:r>
        <w:t xml:space="preserve">new and emerging and </w:t>
      </w:r>
      <w:r w:rsidRPr="00894F6F">
        <w:t>other forms of gambling (online gambling).</w:t>
      </w:r>
    </w:p>
    <w:p w14:paraId="3E83ED02" w14:textId="77777777" w:rsidR="00661DE4" w:rsidRPr="00894F6F" w:rsidRDefault="00661DE4" w:rsidP="00661DE4">
      <w:pPr>
        <w:pStyle w:val="NoSpacing"/>
        <w:numPr>
          <w:ilvl w:val="0"/>
          <w:numId w:val="12"/>
        </w:numPr>
      </w:pPr>
      <w:r>
        <w:t>To assess community</w:t>
      </w:r>
      <w:r w:rsidRPr="00894F6F">
        <w:t xml:space="preserve"> attitude</w:t>
      </w:r>
      <w:r>
        <w:t>s</w:t>
      </w:r>
      <w:r w:rsidRPr="00894F6F">
        <w:t xml:space="preserve"> toward</w:t>
      </w:r>
      <w:r>
        <w:t>s</w:t>
      </w:r>
      <w:r w:rsidRPr="00894F6F">
        <w:t xml:space="preserve"> number of EGMs in the community. </w:t>
      </w:r>
    </w:p>
    <w:p w14:paraId="66283287" w14:textId="77777777" w:rsidR="00661DE4" w:rsidRPr="00894F6F" w:rsidRDefault="00661DE4" w:rsidP="00661DE4">
      <w:pPr>
        <w:pStyle w:val="NoSpacing"/>
        <w:numPr>
          <w:ilvl w:val="0"/>
          <w:numId w:val="12"/>
        </w:numPr>
      </w:pPr>
      <w:r w:rsidRPr="00894F6F">
        <w:t xml:space="preserve">To determine how and where Council could intervene to prevent and reduce the </w:t>
      </w:r>
      <w:r>
        <w:t>harm</w:t>
      </w:r>
      <w:r w:rsidRPr="00894F6F">
        <w:t xml:space="preserve"> cause</w:t>
      </w:r>
      <w:r>
        <w:t>d</w:t>
      </w:r>
      <w:r w:rsidRPr="00894F6F">
        <w:t xml:space="preserve"> by gambling.</w:t>
      </w:r>
    </w:p>
    <w:p w14:paraId="2F2745DA" w14:textId="77777777" w:rsidR="00661DE4" w:rsidRDefault="00661DE4" w:rsidP="00661DE4">
      <w:pPr>
        <w:spacing w:before="120" w:after="120"/>
        <w:rPr>
          <w:rFonts w:cs="Arial"/>
        </w:rPr>
      </w:pPr>
      <w:r w:rsidRPr="00EC1FB5">
        <w:rPr>
          <w:rFonts w:cs="Arial"/>
        </w:rPr>
        <w:t>The sur</w:t>
      </w:r>
      <w:r w:rsidRPr="00267AB6">
        <w:t>vey was open between September and October 2017 and circulated in a variety of ways, mostly online. The survey attracted a large number of responses from those who feel particularly strongly in o</w:t>
      </w:r>
      <w:r w:rsidRPr="00DC6469">
        <w:rPr>
          <w:rFonts w:cs="Arial"/>
        </w:rPr>
        <w:t xml:space="preserve">pposition of pokies and gambling and those who have experienced harm from pokies and gambling. </w:t>
      </w:r>
    </w:p>
    <w:p w14:paraId="10AF89C0" w14:textId="77777777" w:rsidR="00661DE4" w:rsidRDefault="00661DE4" w:rsidP="00661DE4">
      <w:pPr>
        <w:spacing w:before="120" w:after="120"/>
        <w:rPr>
          <w:rFonts w:cs="Arial"/>
        </w:rPr>
      </w:pPr>
      <w:r>
        <w:rPr>
          <w:rFonts w:cs="Arial"/>
        </w:rPr>
        <w:t>A summary of key results are as follows:</w:t>
      </w:r>
    </w:p>
    <w:p w14:paraId="39443E27" w14:textId="77777777" w:rsidR="00661DE4" w:rsidRPr="00B6460C" w:rsidRDefault="00661DE4" w:rsidP="00661DE4">
      <w:pPr>
        <w:numPr>
          <w:ilvl w:val="0"/>
          <w:numId w:val="3"/>
        </w:numPr>
        <w:spacing w:before="120" w:after="120" w:line="240" w:lineRule="auto"/>
        <w:rPr>
          <w:rFonts w:cs="Arial"/>
        </w:rPr>
      </w:pPr>
      <w:r w:rsidRPr="00B6460C">
        <w:rPr>
          <w:rFonts w:cs="Arial"/>
        </w:rPr>
        <w:t xml:space="preserve">The large majority of respondents consider gambling to have negative social effects and </w:t>
      </w:r>
      <w:r>
        <w:rPr>
          <w:rFonts w:cs="Arial"/>
        </w:rPr>
        <w:t xml:space="preserve">a </w:t>
      </w:r>
      <w:r w:rsidRPr="00B6460C">
        <w:rPr>
          <w:rFonts w:cs="Arial"/>
        </w:rPr>
        <w:t>negative impact on a perso</w:t>
      </w:r>
      <w:r>
        <w:rPr>
          <w:rFonts w:cs="Arial"/>
        </w:rPr>
        <w:t>n’s wallet with little prospect</w:t>
      </w:r>
      <w:r w:rsidRPr="00B6460C">
        <w:rPr>
          <w:rFonts w:cs="Arial"/>
        </w:rPr>
        <w:t xml:space="preserve"> for positive monetary outcomes.</w:t>
      </w:r>
    </w:p>
    <w:p w14:paraId="0A1128E0" w14:textId="77777777" w:rsidR="00661DE4" w:rsidRDefault="00661DE4" w:rsidP="00661DE4">
      <w:pPr>
        <w:numPr>
          <w:ilvl w:val="0"/>
          <w:numId w:val="3"/>
        </w:numPr>
        <w:spacing w:before="120" w:after="120" w:line="240" w:lineRule="auto"/>
        <w:rPr>
          <w:rFonts w:cs="Arial"/>
        </w:rPr>
      </w:pPr>
      <w:r>
        <w:rPr>
          <w:rFonts w:cs="Arial"/>
        </w:rPr>
        <w:t>The respondents who were more positive about the role and function of pokies were those who had:</w:t>
      </w:r>
    </w:p>
    <w:p w14:paraId="4F59D086" w14:textId="77777777" w:rsidR="00661DE4" w:rsidRDefault="00661DE4" w:rsidP="00661DE4">
      <w:pPr>
        <w:numPr>
          <w:ilvl w:val="1"/>
          <w:numId w:val="3"/>
        </w:numPr>
        <w:spacing w:before="120" w:after="120" w:line="240" w:lineRule="auto"/>
        <w:rPr>
          <w:rFonts w:cs="Arial"/>
        </w:rPr>
      </w:pPr>
      <w:r w:rsidRPr="00B6460C">
        <w:rPr>
          <w:rFonts w:cs="Arial"/>
        </w:rPr>
        <w:t>played pokies in the past 12 months</w:t>
      </w:r>
      <w:r>
        <w:rPr>
          <w:rFonts w:cs="Arial"/>
        </w:rPr>
        <w:t>;</w:t>
      </w:r>
    </w:p>
    <w:p w14:paraId="43A17288" w14:textId="77777777" w:rsidR="00661DE4" w:rsidRDefault="00661DE4" w:rsidP="00661DE4">
      <w:pPr>
        <w:numPr>
          <w:ilvl w:val="1"/>
          <w:numId w:val="3"/>
        </w:numPr>
        <w:spacing w:before="120" w:after="120" w:line="240" w:lineRule="auto"/>
        <w:rPr>
          <w:rFonts w:cs="Arial"/>
        </w:rPr>
      </w:pPr>
      <w:r w:rsidRPr="00B6460C">
        <w:rPr>
          <w:rFonts w:cs="Arial"/>
        </w:rPr>
        <w:t xml:space="preserve">speak </w:t>
      </w:r>
      <w:r>
        <w:rPr>
          <w:rFonts w:cs="Arial"/>
        </w:rPr>
        <w:t>a language other than English at home;</w:t>
      </w:r>
      <w:r w:rsidRPr="00B6460C">
        <w:rPr>
          <w:rFonts w:cs="Arial"/>
        </w:rPr>
        <w:t xml:space="preserve"> </w:t>
      </w:r>
    </w:p>
    <w:p w14:paraId="23B39AAF" w14:textId="77777777" w:rsidR="00661DE4" w:rsidRDefault="00661DE4" w:rsidP="00661DE4">
      <w:pPr>
        <w:numPr>
          <w:ilvl w:val="1"/>
          <w:numId w:val="3"/>
        </w:numPr>
        <w:spacing w:before="120" w:after="120" w:line="240" w:lineRule="auto"/>
        <w:rPr>
          <w:rFonts w:cs="Arial"/>
        </w:rPr>
      </w:pPr>
      <w:r>
        <w:rPr>
          <w:rFonts w:cs="Arial"/>
        </w:rPr>
        <w:t>not fulltime employed;</w:t>
      </w:r>
    </w:p>
    <w:p w14:paraId="3C41E5CB" w14:textId="77777777" w:rsidR="00661DE4" w:rsidRDefault="00661DE4" w:rsidP="00661DE4">
      <w:pPr>
        <w:numPr>
          <w:ilvl w:val="1"/>
          <w:numId w:val="3"/>
        </w:numPr>
        <w:spacing w:before="120" w:after="120" w:line="240" w:lineRule="auto"/>
        <w:rPr>
          <w:rFonts w:cs="Arial"/>
        </w:rPr>
      </w:pPr>
      <w:r w:rsidRPr="00B6460C">
        <w:rPr>
          <w:rFonts w:cs="Arial"/>
        </w:rPr>
        <w:t xml:space="preserve"> do not have a Bachelor degree or higher</w:t>
      </w:r>
      <w:r>
        <w:rPr>
          <w:rFonts w:cs="Arial"/>
        </w:rPr>
        <w:t>; and</w:t>
      </w:r>
    </w:p>
    <w:p w14:paraId="47197BC1" w14:textId="77777777" w:rsidR="00661DE4" w:rsidRPr="00B6460C" w:rsidRDefault="00661DE4" w:rsidP="00661DE4">
      <w:pPr>
        <w:numPr>
          <w:ilvl w:val="1"/>
          <w:numId w:val="3"/>
        </w:numPr>
        <w:spacing w:before="120" w:after="120" w:line="240" w:lineRule="auto"/>
        <w:rPr>
          <w:rFonts w:cs="Arial"/>
        </w:rPr>
      </w:pPr>
      <w:r w:rsidRPr="00B6460C">
        <w:rPr>
          <w:rFonts w:cs="Arial"/>
        </w:rPr>
        <w:t>older residents</w:t>
      </w:r>
      <w:r>
        <w:rPr>
          <w:rFonts w:cs="Arial"/>
        </w:rPr>
        <w:t>.</w:t>
      </w:r>
      <w:r w:rsidRPr="00B6460C">
        <w:rPr>
          <w:rFonts w:cs="Arial"/>
        </w:rPr>
        <w:t xml:space="preserve"> </w:t>
      </w:r>
    </w:p>
    <w:p w14:paraId="37AD813E" w14:textId="77777777" w:rsidR="00661DE4" w:rsidRDefault="00661DE4" w:rsidP="00661DE4">
      <w:pPr>
        <w:pStyle w:val="ListParagraph"/>
        <w:numPr>
          <w:ilvl w:val="0"/>
          <w:numId w:val="3"/>
        </w:numPr>
        <w:spacing w:before="120" w:after="120" w:line="240" w:lineRule="auto"/>
        <w:contextualSpacing w:val="0"/>
        <w:rPr>
          <w:rFonts w:cs="Arial"/>
        </w:rPr>
      </w:pPr>
      <w:r w:rsidRPr="00B6460C">
        <w:rPr>
          <w:rFonts w:cs="Arial"/>
        </w:rPr>
        <w:t>The majority of respondents think that the number of venues with pokies and the number of pokies should decrease.</w:t>
      </w:r>
    </w:p>
    <w:p w14:paraId="1643F11B" w14:textId="77777777" w:rsidR="00661DE4" w:rsidRPr="00B6460C" w:rsidRDefault="00661DE4" w:rsidP="00661DE4">
      <w:pPr>
        <w:pStyle w:val="ListParagraph"/>
        <w:numPr>
          <w:ilvl w:val="0"/>
          <w:numId w:val="3"/>
        </w:numPr>
        <w:spacing w:before="120" w:after="120" w:line="240" w:lineRule="auto"/>
        <w:contextualSpacing w:val="0"/>
        <w:rPr>
          <w:rFonts w:cs="Arial"/>
        </w:rPr>
      </w:pPr>
      <w:r w:rsidRPr="00B6460C">
        <w:rPr>
          <w:rFonts w:cs="Arial"/>
        </w:rPr>
        <w:t xml:space="preserve"> Similarly, the majority of respondents expect negative community wellbeing and local economy effects if the number of pokies in Wyndham were to increase</w:t>
      </w:r>
      <w:r>
        <w:rPr>
          <w:rFonts w:cs="Arial"/>
        </w:rPr>
        <w:t>.</w:t>
      </w:r>
    </w:p>
    <w:p w14:paraId="47855A85" w14:textId="77777777" w:rsidR="00661DE4" w:rsidRPr="00141F76" w:rsidRDefault="00661DE4" w:rsidP="00661DE4">
      <w:pPr>
        <w:numPr>
          <w:ilvl w:val="0"/>
          <w:numId w:val="3"/>
        </w:numPr>
        <w:spacing w:before="120" w:after="120" w:line="240" w:lineRule="auto"/>
      </w:pPr>
      <w:r w:rsidRPr="00141F76">
        <w:t>Just over one in five respondents have experienced harm from playing pokies. Financial, emotional and relationship harm are the most common types of harm experienced.</w:t>
      </w:r>
    </w:p>
    <w:p w14:paraId="61EE859E" w14:textId="77777777" w:rsidR="00661DE4" w:rsidRPr="00141F76" w:rsidRDefault="00661DE4" w:rsidP="00661DE4">
      <w:pPr>
        <w:numPr>
          <w:ilvl w:val="0"/>
          <w:numId w:val="3"/>
        </w:numPr>
        <w:spacing w:before="120" w:after="120" w:line="240" w:lineRule="auto"/>
      </w:pPr>
      <w:r w:rsidRPr="00141F76">
        <w:t>Fewer respondents have gambled online than played pokies. However, the frequency with which respondents gamble online is higher than with pokies – most likely because of ease of access.</w:t>
      </w:r>
    </w:p>
    <w:p w14:paraId="1688EE6B" w14:textId="77777777" w:rsidR="00661DE4" w:rsidRDefault="00661DE4" w:rsidP="00661DE4">
      <w:pPr>
        <w:numPr>
          <w:ilvl w:val="0"/>
          <w:numId w:val="3"/>
        </w:numPr>
        <w:spacing w:before="120" w:after="120" w:line="240" w:lineRule="auto"/>
      </w:pPr>
      <w:r w:rsidRPr="00141F76">
        <w:lastRenderedPageBreak/>
        <w:t>Almost two thirds of respondents would seek online information if they had a gambling problem. A fifth of all respondents do not know where to get help.</w:t>
      </w:r>
    </w:p>
    <w:p w14:paraId="1E2F478E" w14:textId="77777777" w:rsidR="00661DE4" w:rsidRDefault="00661DE4" w:rsidP="00661DE4">
      <w:pPr>
        <w:numPr>
          <w:ilvl w:val="0"/>
          <w:numId w:val="3"/>
        </w:numPr>
        <w:spacing w:before="120" w:after="120" w:line="240" w:lineRule="auto"/>
      </w:pPr>
      <w:r w:rsidRPr="00C31AB0">
        <w:t xml:space="preserve">Respondents who speak </w:t>
      </w:r>
      <w:r>
        <w:t xml:space="preserve">a language other than </w:t>
      </w:r>
      <w:r w:rsidRPr="00C31AB0">
        <w:t>English at home are less likely to know where to get help, and more likely to not get any help, compared with those who speak English at home.</w:t>
      </w:r>
    </w:p>
    <w:p w14:paraId="16D8CD68" w14:textId="77777777" w:rsidR="00661DE4" w:rsidRDefault="00661DE4" w:rsidP="00661DE4"/>
    <w:p w14:paraId="164CD8D0" w14:textId="77777777" w:rsidR="00661DE4" w:rsidRPr="005862F2" w:rsidRDefault="00661DE4" w:rsidP="00661DE4">
      <w:pPr>
        <w:pStyle w:val="Heading1"/>
        <w:rPr>
          <w:rFonts w:asciiTheme="minorHAnsi" w:hAnsiTheme="minorHAnsi"/>
          <w:b/>
          <w:i/>
          <w:color w:val="7030A0"/>
          <w:sz w:val="22"/>
          <w:szCs w:val="22"/>
        </w:rPr>
      </w:pPr>
      <w:bookmarkStart w:id="12" w:name="_Toc502675756"/>
      <w:r w:rsidRPr="005862F2">
        <w:rPr>
          <w:b/>
          <w:color w:val="7030A0"/>
        </w:rPr>
        <w:t>Impacts of Gambling on Health and Wellbeing</w:t>
      </w:r>
      <w:bookmarkEnd w:id="12"/>
    </w:p>
    <w:p w14:paraId="1D2668B9" w14:textId="77777777" w:rsidR="00661DE4" w:rsidRPr="00894F6F" w:rsidRDefault="00661DE4" w:rsidP="00661DE4">
      <w:bookmarkStart w:id="13" w:name="_Toc495570473"/>
      <w:bookmarkStart w:id="14" w:name="_Toc502675757"/>
      <w:r>
        <w:t xml:space="preserve">Wyndham has a responsibility to review research and evidence to inform its policies. </w:t>
      </w:r>
      <w:bookmarkEnd w:id="13"/>
      <w:bookmarkEnd w:id="14"/>
      <w:r>
        <w:t xml:space="preserve"> </w:t>
      </w:r>
      <w:bookmarkStart w:id="15" w:name="_Hlk506446597"/>
      <w:r w:rsidRPr="00894F6F">
        <w:t xml:space="preserve">In April 2016 the Victorian Responsible Gambling Foundation (VRGF) released </w:t>
      </w:r>
      <w:r w:rsidRPr="00894F6F">
        <w:rPr>
          <w:i/>
        </w:rPr>
        <w:t>‘Assessing gambling related harm in Victoria’</w:t>
      </w:r>
      <w:r w:rsidRPr="00894F6F">
        <w:rPr>
          <w:rStyle w:val="FootnoteReference"/>
          <w:i/>
        </w:rPr>
        <w:footnoteReference w:id="9"/>
      </w:r>
      <w:r w:rsidRPr="00894F6F">
        <w:t xml:space="preserve">, a comprehensive report detailing the full breadth of gambling related harm experienced among the Victorian population. </w:t>
      </w:r>
    </w:p>
    <w:p w14:paraId="658C4DC8" w14:textId="77777777" w:rsidR="00661DE4" w:rsidRPr="00894F6F" w:rsidRDefault="00661DE4" w:rsidP="00661DE4">
      <w:pPr>
        <w:spacing w:after="0"/>
        <w:rPr>
          <w:rFonts w:ascii="Calibri" w:eastAsia="Times New Roman" w:hAnsi="Calibri" w:cs="Times New Roman"/>
        </w:rPr>
      </w:pPr>
      <w:r w:rsidRPr="00894F6F">
        <w:rPr>
          <w:rFonts w:ascii="Calibri" w:eastAsia="Times New Roman" w:hAnsi="Calibri" w:cs="Times New Roman"/>
        </w:rPr>
        <w:t xml:space="preserve">The report divides </w:t>
      </w:r>
      <w:r w:rsidRPr="00894F6F">
        <w:t xml:space="preserve">gambling related harm into the following seven areas: </w:t>
      </w:r>
    </w:p>
    <w:p w14:paraId="5290E3EC" w14:textId="77777777" w:rsidR="00661DE4" w:rsidRPr="00894F6F" w:rsidRDefault="00661DE4" w:rsidP="00661DE4">
      <w:pPr>
        <w:pStyle w:val="NoSpacing"/>
        <w:numPr>
          <w:ilvl w:val="0"/>
          <w:numId w:val="7"/>
        </w:numPr>
        <w:rPr>
          <w:lang w:val="en-AU"/>
        </w:rPr>
      </w:pPr>
      <w:r w:rsidRPr="00894F6F">
        <w:rPr>
          <w:lang w:val="en-AU"/>
        </w:rPr>
        <w:t>Financial harm</w:t>
      </w:r>
    </w:p>
    <w:p w14:paraId="1B84AEA7" w14:textId="77777777" w:rsidR="00661DE4" w:rsidRPr="00894F6F" w:rsidRDefault="00661DE4" w:rsidP="00661DE4">
      <w:pPr>
        <w:pStyle w:val="NoSpacing"/>
        <w:numPr>
          <w:ilvl w:val="0"/>
          <w:numId w:val="7"/>
        </w:numPr>
        <w:rPr>
          <w:lang w:val="en-AU"/>
        </w:rPr>
      </w:pPr>
      <w:r w:rsidRPr="00894F6F">
        <w:rPr>
          <w:lang w:val="en-AU"/>
        </w:rPr>
        <w:t xml:space="preserve">Relationship disruption, </w:t>
      </w:r>
    </w:p>
    <w:p w14:paraId="4C2CEEF2" w14:textId="77777777" w:rsidR="00661DE4" w:rsidRPr="00894F6F" w:rsidRDefault="00661DE4" w:rsidP="00661DE4">
      <w:pPr>
        <w:pStyle w:val="NoSpacing"/>
        <w:numPr>
          <w:ilvl w:val="0"/>
          <w:numId w:val="7"/>
        </w:numPr>
        <w:rPr>
          <w:lang w:val="en-AU"/>
        </w:rPr>
      </w:pPr>
      <w:r w:rsidRPr="00894F6F">
        <w:rPr>
          <w:lang w:val="en-AU"/>
        </w:rPr>
        <w:t xml:space="preserve">Emotional or psychological distress </w:t>
      </w:r>
    </w:p>
    <w:p w14:paraId="72D78F2E" w14:textId="77777777" w:rsidR="00661DE4" w:rsidRPr="00894F6F" w:rsidRDefault="00661DE4" w:rsidP="00661DE4">
      <w:pPr>
        <w:pStyle w:val="NoSpacing"/>
        <w:numPr>
          <w:ilvl w:val="0"/>
          <w:numId w:val="7"/>
        </w:numPr>
        <w:rPr>
          <w:lang w:val="en-AU"/>
        </w:rPr>
      </w:pPr>
      <w:r w:rsidRPr="00894F6F">
        <w:rPr>
          <w:lang w:val="en-AU"/>
        </w:rPr>
        <w:t>Detriments to health</w:t>
      </w:r>
    </w:p>
    <w:p w14:paraId="529CCCAC" w14:textId="77777777" w:rsidR="00661DE4" w:rsidRPr="00894F6F" w:rsidRDefault="00661DE4" w:rsidP="00661DE4">
      <w:pPr>
        <w:pStyle w:val="NoSpacing"/>
        <w:numPr>
          <w:ilvl w:val="0"/>
          <w:numId w:val="7"/>
        </w:numPr>
        <w:rPr>
          <w:lang w:val="en-AU"/>
        </w:rPr>
      </w:pPr>
      <w:r w:rsidRPr="00894F6F">
        <w:rPr>
          <w:lang w:val="en-AU"/>
        </w:rPr>
        <w:t xml:space="preserve">Cultural harm </w:t>
      </w:r>
    </w:p>
    <w:p w14:paraId="6464D127" w14:textId="77777777" w:rsidR="00661DE4" w:rsidRPr="00894F6F" w:rsidRDefault="00661DE4" w:rsidP="00661DE4">
      <w:pPr>
        <w:pStyle w:val="NoSpacing"/>
        <w:numPr>
          <w:ilvl w:val="0"/>
          <w:numId w:val="7"/>
        </w:numPr>
        <w:rPr>
          <w:lang w:val="en-AU"/>
        </w:rPr>
      </w:pPr>
      <w:r w:rsidRPr="00894F6F">
        <w:rPr>
          <w:lang w:val="en-AU"/>
        </w:rPr>
        <w:t xml:space="preserve">Reduced work or study performance </w:t>
      </w:r>
    </w:p>
    <w:p w14:paraId="0AB8A9E0" w14:textId="77777777" w:rsidR="00661DE4" w:rsidRPr="00894F6F" w:rsidRDefault="00661DE4" w:rsidP="00661DE4">
      <w:pPr>
        <w:pStyle w:val="NoSpacing"/>
        <w:numPr>
          <w:ilvl w:val="0"/>
          <w:numId w:val="7"/>
        </w:numPr>
        <w:rPr>
          <w:lang w:val="en-AU"/>
        </w:rPr>
      </w:pPr>
      <w:r w:rsidRPr="00894F6F">
        <w:rPr>
          <w:lang w:val="en-AU"/>
        </w:rPr>
        <w:t>Criminal activity</w:t>
      </w:r>
    </w:p>
    <w:p w14:paraId="6959AEA5" w14:textId="77777777" w:rsidR="00661DE4" w:rsidRPr="00894F6F" w:rsidRDefault="00661DE4" w:rsidP="00661DE4">
      <w:pPr>
        <w:pStyle w:val="NoSpacing"/>
        <w:rPr>
          <w:lang w:val="en-AU"/>
        </w:rPr>
      </w:pPr>
    </w:p>
    <w:p w14:paraId="308DD997" w14:textId="77777777" w:rsidR="00661DE4" w:rsidRPr="00894F6F" w:rsidRDefault="00661DE4" w:rsidP="00661DE4">
      <w:pPr>
        <w:pStyle w:val="NoSpacing"/>
        <w:rPr>
          <w:lang w:val="en-AU"/>
        </w:rPr>
      </w:pPr>
      <w:r>
        <w:rPr>
          <w:lang w:val="en-AU"/>
        </w:rPr>
        <w:t xml:space="preserve">The </w:t>
      </w:r>
      <w:r w:rsidRPr="00894F6F">
        <w:rPr>
          <w:lang w:val="en-AU"/>
        </w:rPr>
        <w:t>report also found that the severity of gambling related harm increases according to at-risk gambling s</w:t>
      </w:r>
      <w:r>
        <w:rPr>
          <w:lang w:val="en-AU"/>
        </w:rPr>
        <w:t>tatus.  Further analysis shows</w:t>
      </w:r>
      <w:r w:rsidRPr="00894F6F">
        <w:rPr>
          <w:lang w:val="en-AU"/>
        </w:rPr>
        <w:t xml:space="preserve"> that of the total burden of gambling related harm in Victoria, the majority of harm was due to low and moderate risk gambling (85%) rather than problem gambling. This is due to the greater number of low and moderate risk gamblers in the Victorian population. So, while problem gamblers experience a greater severity of harm, the gambling behaviours of low and moderate risk gamblers has a larger impact on the Victorian population. A more recent background paper supported this finding</w:t>
      </w:r>
      <w:r w:rsidRPr="00894F6F">
        <w:rPr>
          <w:rStyle w:val="FootnoteReference"/>
          <w:lang w:val="en-AU"/>
        </w:rPr>
        <w:footnoteReference w:id="10"/>
      </w:r>
      <w:r w:rsidRPr="00894F6F">
        <w:rPr>
          <w:lang w:val="en-AU"/>
        </w:rPr>
        <w:t>.</w:t>
      </w:r>
    </w:p>
    <w:bookmarkEnd w:id="15"/>
    <w:p w14:paraId="4CE1540A" w14:textId="77777777" w:rsidR="00661DE4" w:rsidRDefault="00661DE4" w:rsidP="00661DE4">
      <w:pPr>
        <w:pStyle w:val="NoSpacing"/>
        <w:rPr>
          <w:rFonts w:ascii="Calibri" w:eastAsia="Times New Roman" w:hAnsi="Calibri" w:cs="Times New Roman"/>
          <w:lang w:val="en-AU" w:eastAsia="en-US"/>
        </w:rPr>
      </w:pPr>
    </w:p>
    <w:p w14:paraId="7B61E9D5" w14:textId="77777777" w:rsidR="00661DE4" w:rsidRDefault="00661DE4" w:rsidP="00661DE4">
      <w:pPr>
        <w:pStyle w:val="NoSpacing"/>
        <w:rPr>
          <w:lang w:val="en-AU"/>
        </w:rPr>
      </w:pPr>
      <w:r w:rsidRPr="00894F6F">
        <w:rPr>
          <w:lang w:val="en-AU"/>
        </w:rPr>
        <w:t>In 2014</w:t>
      </w:r>
      <w:r w:rsidRPr="00894F6F">
        <w:rPr>
          <w:rStyle w:val="FootnoteReference"/>
          <w:lang w:val="en-AU"/>
        </w:rPr>
        <w:footnoteReference w:id="11"/>
      </w:r>
      <w:r w:rsidRPr="00894F6F">
        <w:rPr>
          <w:lang w:val="en-AU"/>
        </w:rPr>
        <w:t>, a significant minority (12.5%) of Victorians reported harmful gambling behaviour. Low risk gambling behaviour was most common (8.91%), followed by moderate risk (2.79%) and problem gambling</w:t>
      </w:r>
      <w:r>
        <w:rPr>
          <w:rStyle w:val="FootnoteReference"/>
          <w:lang w:val="en-AU"/>
        </w:rPr>
        <w:footnoteReference w:id="12"/>
      </w:r>
      <w:r w:rsidRPr="00894F6F">
        <w:rPr>
          <w:lang w:val="en-AU"/>
        </w:rPr>
        <w:t xml:space="preserve"> (0.81%). Further, low risk gambling appears to be increasing, while moderate risk and problem gambling remain stable across the population.</w:t>
      </w:r>
    </w:p>
    <w:p w14:paraId="7654874A" w14:textId="77777777" w:rsidR="00661DE4" w:rsidRDefault="00661DE4" w:rsidP="00661DE4">
      <w:pPr>
        <w:pStyle w:val="NoSpacing"/>
        <w:rPr>
          <w:lang w:val="en-AU"/>
        </w:rPr>
      </w:pPr>
    </w:p>
    <w:p w14:paraId="23D705EA" w14:textId="77777777" w:rsidR="00661DE4" w:rsidRPr="00894F6F" w:rsidRDefault="00661DE4" w:rsidP="00661DE4">
      <w:pPr>
        <w:pStyle w:val="NoSpacing"/>
        <w:rPr>
          <w:lang w:val="en-AU"/>
        </w:rPr>
      </w:pPr>
      <w:r w:rsidRPr="0097304F">
        <w:rPr>
          <w:lang w:val="en-AU"/>
        </w:rPr>
        <w:t>This study also reported that smoking and drinking increasing levels of alcohol is more likely in low-risk and moderate-risk gamblers than non-problem gamblers.  Further studies also suggest that moderate risk-gamblers have less favourable quality of life scores, particularly in relation to social relationships and psychological health.</w:t>
      </w:r>
      <w:r>
        <w:rPr>
          <w:lang w:val="en-AU"/>
        </w:rPr>
        <w:t xml:space="preserve"> </w:t>
      </w:r>
    </w:p>
    <w:p w14:paraId="0B0AA85E" w14:textId="77777777" w:rsidR="00661DE4" w:rsidRDefault="00661DE4" w:rsidP="00661DE4">
      <w:pPr>
        <w:pStyle w:val="NoSpacing"/>
        <w:rPr>
          <w:rFonts w:eastAsiaTheme="minorHAnsi"/>
          <w:lang w:val="en-AU" w:eastAsia="en-US"/>
        </w:rPr>
      </w:pPr>
    </w:p>
    <w:p w14:paraId="32E9E721" w14:textId="77777777" w:rsidR="00661DE4" w:rsidRDefault="00661DE4" w:rsidP="00661DE4">
      <w:pPr>
        <w:pStyle w:val="NoSpacing"/>
        <w:rPr>
          <w:lang w:val="en-AU"/>
        </w:rPr>
      </w:pPr>
      <w:r w:rsidRPr="00894F6F">
        <w:rPr>
          <w:lang w:val="en-AU"/>
        </w:rPr>
        <w:lastRenderedPageBreak/>
        <w:t xml:space="preserve">While there are obvious financial costs, it is clear that all aspects of daily life are potentially affected by gambling, especially problem gamblers.  It is therefore in Council’s interest to consider addressing </w:t>
      </w:r>
      <w:r>
        <w:rPr>
          <w:lang w:val="en-AU"/>
        </w:rPr>
        <w:t xml:space="preserve">the issues caused by gambling. </w:t>
      </w:r>
    </w:p>
    <w:p w14:paraId="5254B3AE" w14:textId="77777777" w:rsidR="00661DE4" w:rsidRDefault="00661DE4" w:rsidP="00661DE4">
      <w:pPr>
        <w:pStyle w:val="NoSpacing"/>
        <w:rPr>
          <w:lang w:val="en-AU"/>
        </w:rPr>
      </w:pPr>
    </w:p>
    <w:p w14:paraId="167DFA1F" w14:textId="77777777" w:rsidR="00661DE4" w:rsidRPr="0023507E" w:rsidRDefault="00661DE4" w:rsidP="00661DE4">
      <w:pPr>
        <w:pStyle w:val="NoSpacing"/>
        <w:rPr>
          <w:lang w:val="en-AU"/>
        </w:rPr>
      </w:pPr>
      <w:r w:rsidRPr="00894F6F">
        <w:rPr>
          <w:rFonts w:ascii="Calibri" w:eastAsia="Times New Roman" w:hAnsi="Calibri" w:cs="Times New Roman"/>
        </w:rPr>
        <w:t xml:space="preserve">The table below, compiled by the VLGA (2014), </w:t>
      </w:r>
      <w:r w:rsidRPr="00894F6F">
        <w:t xml:space="preserve">illustrates how these impacts play out within the home, socially, in the workplace and on the community. </w:t>
      </w:r>
    </w:p>
    <w:p w14:paraId="79F13DEA" w14:textId="77777777" w:rsidR="00661DE4" w:rsidRPr="00894F6F" w:rsidRDefault="00661DE4" w:rsidP="00661DE4">
      <w:pPr>
        <w:spacing w:after="0"/>
      </w:pPr>
    </w:p>
    <w:p w14:paraId="36E1453A" w14:textId="77777777" w:rsidR="00661DE4" w:rsidRDefault="00661DE4" w:rsidP="00661DE4">
      <w:pPr>
        <w:pStyle w:val="Default"/>
        <w:rPr>
          <w:rFonts w:asciiTheme="minorHAnsi" w:hAnsiTheme="minorHAnsi"/>
          <w:sz w:val="22"/>
          <w:szCs w:val="22"/>
        </w:rPr>
      </w:pPr>
      <w:r>
        <w:rPr>
          <w:rFonts w:asciiTheme="minorHAnsi" w:hAnsiTheme="minorHAnsi"/>
          <w:sz w:val="22"/>
          <w:szCs w:val="22"/>
        </w:rPr>
        <w:t>Table 1: Impacts of Gambling</w:t>
      </w:r>
    </w:p>
    <w:p w14:paraId="7B29886D" w14:textId="77777777" w:rsidR="00661DE4" w:rsidRPr="00894F6F" w:rsidRDefault="00661DE4" w:rsidP="00661DE4">
      <w:pPr>
        <w:pStyle w:val="Default"/>
        <w:rPr>
          <w:rFonts w:asciiTheme="minorHAnsi" w:hAnsiTheme="minorHAnsi"/>
          <w:sz w:val="22"/>
          <w:szCs w:val="22"/>
        </w:rPr>
      </w:pPr>
    </w:p>
    <w:tbl>
      <w:tblPr>
        <w:tblStyle w:val="GridTable4-Accent4"/>
        <w:tblW w:w="0" w:type="auto"/>
        <w:tblLook w:val="04A0" w:firstRow="1" w:lastRow="0" w:firstColumn="1" w:lastColumn="0" w:noHBand="0" w:noVBand="1"/>
      </w:tblPr>
      <w:tblGrid>
        <w:gridCol w:w="3304"/>
        <w:gridCol w:w="5712"/>
      </w:tblGrid>
      <w:tr w:rsidR="00661DE4" w:rsidRPr="00894F6F" w14:paraId="535A9A2C" w14:textId="77777777" w:rsidTr="00661D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hideMark/>
          </w:tcPr>
          <w:p w14:paraId="0363ACF2" w14:textId="77777777" w:rsidR="00661DE4" w:rsidRPr="00894F6F" w:rsidRDefault="00661DE4" w:rsidP="00661DE4">
            <w:pPr>
              <w:pStyle w:val="Default"/>
              <w:rPr>
                <w:rFonts w:asciiTheme="minorHAnsi" w:hAnsiTheme="minorHAnsi"/>
                <w:sz w:val="32"/>
                <w:szCs w:val="32"/>
              </w:rPr>
            </w:pPr>
            <w:r w:rsidRPr="00894F6F">
              <w:rPr>
                <w:rFonts w:asciiTheme="minorHAnsi" w:hAnsiTheme="minorHAnsi"/>
                <w:sz w:val="32"/>
                <w:szCs w:val="32"/>
              </w:rPr>
              <w:t>Community</w:t>
            </w:r>
          </w:p>
        </w:tc>
        <w:tc>
          <w:tcPr>
            <w:tcW w:w="5873" w:type="dxa"/>
            <w:hideMark/>
          </w:tcPr>
          <w:p w14:paraId="21EE7065" w14:textId="77777777" w:rsidR="00661DE4" w:rsidRPr="00894F6F" w:rsidRDefault="00661DE4" w:rsidP="00661DE4">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32"/>
                <w:szCs w:val="32"/>
              </w:rPr>
            </w:pPr>
            <w:r w:rsidRPr="00894F6F">
              <w:rPr>
                <w:rFonts w:asciiTheme="minorHAnsi" w:hAnsiTheme="minorHAnsi"/>
                <w:sz w:val="32"/>
                <w:szCs w:val="32"/>
              </w:rPr>
              <w:t>Impacts</w:t>
            </w:r>
          </w:p>
        </w:tc>
      </w:tr>
      <w:tr w:rsidR="00661DE4" w:rsidRPr="00894F6F" w14:paraId="39CC1894" w14:textId="77777777" w:rsidTr="00661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hideMark/>
          </w:tcPr>
          <w:p w14:paraId="55D96EC3" w14:textId="77777777" w:rsidR="00661DE4" w:rsidRPr="00894F6F" w:rsidRDefault="00661DE4" w:rsidP="00661DE4">
            <w:pPr>
              <w:pStyle w:val="Default"/>
              <w:rPr>
                <w:rFonts w:asciiTheme="minorHAnsi" w:hAnsiTheme="minorHAnsi"/>
                <w:b w:val="0"/>
                <w:sz w:val="22"/>
                <w:szCs w:val="22"/>
              </w:rPr>
            </w:pPr>
            <w:r w:rsidRPr="00894F6F">
              <w:rPr>
                <w:rFonts w:asciiTheme="minorHAnsi" w:hAnsiTheme="minorHAnsi"/>
                <w:sz w:val="22"/>
                <w:szCs w:val="22"/>
              </w:rPr>
              <w:t>Individual</w:t>
            </w:r>
          </w:p>
        </w:tc>
        <w:tc>
          <w:tcPr>
            <w:tcW w:w="5873" w:type="dxa"/>
            <w:hideMark/>
          </w:tcPr>
          <w:p w14:paraId="117B1472" w14:textId="77777777" w:rsidR="00661DE4" w:rsidRPr="00894F6F" w:rsidRDefault="00661DE4" w:rsidP="00661DE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94F6F">
              <w:rPr>
                <w:rFonts w:asciiTheme="minorHAnsi" w:hAnsiTheme="minorHAnsi"/>
                <w:sz w:val="22"/>
                <w:szCs w:val="22"/>
              </w:rPr>
              <w:t>Job loss, financial hardship, loss of social supports and community connections.</w:t>
            </w:r>
          </w:p>
        </w:tc>
      </w:tr>
      <w:tr w:rsidR="00661DE4" w:rsidRPr="00894F6F" w14:paraId="33A87BB0" w14:textId="77777777" w:rsidTr="00661DE4">
        <w:tc>
          <w:tcPr>
            <w:cnfStyle w:val="001000000000" w:firstRow="0" w:lastRow="0" w:firstColumn="1" w:lastColumn="0" w:oddVBand="0" w:evenVBand="0" w:oddHBand="0" w:evenHBand="0" w:firstRowFirstColumn="0" w:firstRowLastColumn="0" w:lastRowFirstColumn="0" w:lastRowLastColumn="0"/>
            <w:tcW w:w="3369" w:type="dxa"/>
            <w:hideMark/>
          </w:tcPr>
          <w:p w14:paraId="65D7C453" w14:textId="77777777" w:rsidR="00661DE4" w:rsidRPr="00894F6F" w:rsidRDefault="00661DE4" w:rsidP="00661DE4">
            <w:pPr>
              <w:pStyle w:val="Default"/>
              <w:rPr>
                <w:rFonts w:asciiTheme="minorHAnsi" w:hAnsiTheme="minorHAnsi"/>
                <w:sz w:val="22"/>
                <w:szCs w:val="22"/>
              </w:rPr>
            </w:pPr>
            <w:r w:rsidRPr="00894F6F">
              <w:rPr>
                <w:rFonts w:asciiTheme="minorHAnsi" w:hAnsiTheme="minorHAnsi"/>
                <w:sz w:val="22"/>
                <w:szCs w:val="22"/>
              </w:rPr>
              <w:t>Family and friends</w:t>
            </w:r>
          </w:p>
        </w:tc>
        <w:tc>
          <w:tcPr>
            <w:tcW w:w="5873" w:type="dxa"/>
            <w:hideMark/>
          </w:tcPr>
          <w:p w14:paraId="219386D6" w14:textId="77777777" w:rsidR="00661DE4" w:rsidRPr="00894F6F" w:rsidRDefault="00661DE4" w:rsidP="00661DE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894F6F">
              <w:rPr>
                <w:rFonts w:asciiTheme="minorHAnsi" w:hAnsiTheme="minorHAnsi"/>
                <w:sz w:val="22"/>
                <w:szCs w:val="22"/>
              </w:rPr>
              <w:t>Family neglect, family violence, relationship breakdown, poverty, homelessness, stigma and social isolation.</w:t>
            </w:r>
          </w:p>
        </w:tc>
      </w:tr>
      <w:tr w:rsidR="00661DE4" w:rsidRPr="00894F6F" w14:paraId="7E52A29A" w14:textId="77777777" w:rsidTr="00661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hideMark/>
          </w:tcPr>
          <w:p w14:paraId="619DCE66" w14:textId="77777777" w:rsidR="00661DE4" w:rsidRPr="00894F6F" w:rsidRDefault="00661DE4" w:rsidP="00661DE4">
            <w:pPr>
              <w:pStyle w:val="Default"/>
              <w:rPr>
                <w:rFonts w:asciiTheme="minorHAnsi" w:hAnsiTheme="minorHAnsi"/>
                <w:sz w:val="22"/>
                <w:szCs w:val="22"/>
              </w:rPr>
            </w:pPr>
            <w:r w:rsidRPr="00894F6F">
              <w:rPr>
                <w:rFonts w:asciiTheme="minorHAnsi" w:hAnsiTheme="minorHAnsi"/>
                <w:sz w:val="22"/>
                <w:szCs w:val="22"/>
              </w:rPr>
              <w:t xml:space="preserve">Workplaces, clubs, groups </w:t>
            </w:r>
          </w:p>
        </w:tc>
        <w:tc>
          <w:tcPr>
            <w:tcW w:w="5873" w:type="dxa"/>
            <w:hideMark/>
          </w:tcPr>
          <w:p w14:paraId="7E04197C" w14:textId="77777777" w:rsidR="00661DE4" w:rsidRPr="00894F6F" w:rsidRDefault="00661DE4" w:rsidP="00661DE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94F6F">
              <w:rPr>
                <w:rFonts w:asciiTheme="minorHAnsi" w:hAnsiTheme="minorHAnsi"/>
                <w:sz w:val="22"/>
                <w:szCs w:val="22"/>
              </w:rPr>
              <w:t xml:space="preserve">Absenteeism, job loss, poor performance, theft, lower participation rates in sports and social clubs. </w:t>
            </w:r>
          </w:p>
        </w:tc>
      </w:tr>
      <w:tr w:rsidR="00661DE4" w:rsidRPr="00894F6F" w14:paraId="536DE3EE" w14:textId="77777777" w:rsidTr="00661DE4">
        <w:tc>
          <w:tcPr>
            <w:cnfStyle w:val="001000000000" w:firstRow="0" w:lastRow="0" w:firstColumn="1" w:lastColumn="0" w:oddVBand="0" w:evenVBand="0" w:oddHBand="0" w:evenHBand="0" w:firstRowFirstColumn="0" w:firstRowLastColumn="0" w:lastRowFirstColumn="0" w:lastRowLastColumn="0"/>
            <w:tcW w:w="3369" w:type="dxa"/>
            <w:hideMark/>
          </w:tcPr>
          <w:p w14:paraId="4334F830" w14:textId="77777777" w:rsidR="00661DE4" w:rsidRPr="00894F6F" w:rsidRDefault="00661DE4" w:rsidP="00661DE4">
            <w:pPr>
              <w:pStyle w:val="Default"/>
              <w:rPr>
                <w:rFonts w:asciiTheme="minorHAnsi" w:hAnsiTheme="minorHAnsi"/>
                <w:sz w:val="22"/>
                <w:szCs w:val="22"/>
              </w:rPr>
            </w:pPr>
            <w:r w:rsidRPr="00894F6F">
              <w:rPr>
                <w:rFonts w:asciiTheme="minorHAnsi" w:hAnsiTheme="minorHAnsi"/>
                <w:sz w:val="22"/>
                <w:szCs w:val="22"/>
              </w:rPr>
              <w:t xml:space="preserve">Community </w:t>
            </w:r>
          </w:p>
        </w:tc>
        <w:tc>
          <w:tcPr>
            <w:tcW w:w="5873" w:type="dxa"/>
            <w:hideMark/>
          </w:tcPr>
          <w:p w14:paraId="62222838" w14:textId="77777777" w:rsidR="00661DE4" w:rsidRPr="00894F6F" w:rsidRDefault="00661DE4" w:rsidP="00661DE4">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894F6F">
              <w:rPr>
                <w:rFonts w:asciiTheme="minorHAnsi" w:hAnsiTheme="minorHAnsi"/>
                <w:sz w:val="22"/>
                <w:szCs w:val="22"/>
              </w:rPr>
              <w:t xml:space="preserve">Reduced resources available, increased reliance on welfare supports, community disempowerment, poverty, increased crime and associated costs. </w:t>
            </w:r>
          </w:p>
        </w:tc>
      </w:tr>
    </w:tbl>
    <w:p w14:paraId="39CDF768" w14:textId="77777777" w:rsidR="00661DE4" w:rsidRDefault="00661DE4" w:rsidP="00661DE4">
      <w:pPr>
        <w:spacing w:after="0"/>
      </w:pPr>
    </w:p>
    <w:p w14:paraId="2D99115F" w14:textId="77777777" w:rsidR="00661DE4" w:rsidRPr="0097304F" w:rsidRDefault="00661DE4" w:rsidP="00661DE4">
      <w:pPr>
        <w:spacing w:after="0"/>
      </w:pPr>
      <w:r w:rsidRPr="0097304F">
        <w:t>Communities, such as Wyndham, are affected in a number of ways by gambling.  Using funds to gamble mean that there is less spending by gamblers on other recreational activities, and where money is spent on gambling it is no longer available to be spent elsewhere in the business community.  Moderate gamblers have been reported to experience emotional harm including shame and regret, and consequently spend less time with the people they care about.</w:t>
      </w:r>
    </w:p>
    <w:p w14:paraId="643C3304" w14:textId="77777777" w:rsidR="00661DE4" w:rsidRPr="0097304F" w:rsidRDefault="00661DE4" w:rsidP="00661DE4">
      <w:pPr>
        <w:spacing w:after="0"/>
      </w:pPr>
    </w:p>
    <w:p w14:paraId="747E018F" w14:textId="77777777" w:rsidR="00661DE4" w:rsidRPr="0097304F" w:rsidRDefault="00661DE4" w:rsidP="00661DE4">
      <w:pPr>
        <w:spacing w:after="0"/>
      </w:pPr>
      <w:r w:rsidRPr="0097304F">
        <w:t xml:space="preserve">Where there are negative impacts on relationships where problem gambling is an issue, this can then lead to individuals and families becoming more isolated or excluded from their community.  Problem gamblers may also have less capacity to contribute to their local community which can lead to an increased demand on other members of the community. </w:t>
      </w:r>
    </w:p>
    <w:p w14:paraId="210EB460" w14:textId="77777777" w:rsidR="00661DE4" w:rsidRPr="0097304F" w:rsidRDefault="00661DE4" w:rsidP="00661DE4">
      <w:pPr>
        <w:spacing w:after="0"/>
      </w:pPr>
    </w:p>
    <w:p w14:paraId="4C2A903B" w14:textId="77777777" w:rsidR="00661DE4" w:rsidRDefault="00661DE4" w:rsidP="00661DE4">
      <w:pPr>
        <w:spacing w:after="0"/>
      </w:pPr>
      <w:r w:rsidRPr="0097304F">
        <w:t>Council therefore has a duty to enhance the health &amp; wellbeing of the Wyndham community.  This can be achieved by providing education and information to individuals and the community with the aim to minimise the harm associated with all forms of gambling.</w:t>
      </w:r>
      <w:r>
        <w:t xml:space="preserve"> </w:t>
      </w:r>
    </w:p>
    <w:p w14:paraId="17EBFA9B" w14:textId="77777777" w:rsidR="00661DE4" w:rsidRDefault="00661DE4" w:rsidP="00661DE4">
      <w:pPr>
        <w:spacing w:after="0"/>
      </w:pPr>
    </w:p>
    <w:p w14:paraId="52F9D79C" w14:textId="77777777" w:rsidR="00661DE4" w:rsidRDefault="00661DE4" w:rsidP="00661DE4">
      <w:r>
        <w:br w:type="page"/>
      </w:r>
    </w:p>
    <w:p w14:paraId="55D16A91" w14:textId="77777777" w:rsidR="00661DE4" w:rsidRDefault="00661DE4" w:rsidP="00661DE4"/>
    <w:p w14:paraId="5DF20FEB" w14:textId="77777777" w:rsidR="00661DE4" w:rsidRDefault="00661DE4" w:rsidP="00661DE4">
      <w:pPr>
        <w:pStyle w:val="Heading1"/>
        <w:rPr>
          <w:b/>
          <w:color w:val="215868" w:themeColor="accent5" w:themeShade="80"/>
        </w:rPr>
      </w:pPr>
      <w:bookmarkStart w:id="16" w:name="_Toc502675749"/>
      <w:r w:rsidRPr="005862F2">
        <w:rPr>
          <w:b/>
          <w:color w:val="7030A0"/>
        </w:rPr>
        <w:t>Legislative and Regulatory Context</w:t>
      </w:r>
      <w:bookmarkEnd w:id="16"/>
    </w:p>
    <w:p w14:paraId="2A59A302" w14:textId="77777777" w:rsidR="00661DE4" w:rsidRDefault="00661DE4" w:rsidP="00661DE4">
      <w:r>
        <w:t>Governments at all levels have a responsibility in minimising the harm associated with gambling.</w:t>
      </w:r>
    </w:p>
    <w:p w14:paraId="4BCF4823" w14:textId="77777777" w:rsidR="00661DE4" w:rsidRPr="00EF66B8" w:rsidRDefault="00661DE4" w:rsidP="00EF66B8">
      <w:pPr>
        <w:pStyle w:val="Heading2"/>
        <w:rPr>
          <w:color w:val="7030A0"/>
        </w:rPr>
      </w:pPr>
      <w:r w:rsidRPr="00EF66B8">
        <w:rPr>
          <w:color w:val="7030A0"/>
        </w:rPr>
        <w:t>Commonwealth Government</w:t>
      </w:r>
    </w:p>
    <w:p w14:paraId="6A0F3A55" w14:textId="77777777" w:rsidR="00661DE4" w:rsidRPr="009E4CC9" w:rsidRDefault="00661DE4" w:rsidP="00661DE4">
      <w:r w:rsidRPr="00894F6F">
        <w:t xml:space="preserve">Online gambling is regulated by the Commonwealth Government through the Interactive Gambling Act 2001 (IGA). The IGA targets the providers of interactive gambling services. </w:t>
      </w:r>
    </w:p>
    <w:p w14:paraId="653DC3FD" w14:textId="77777777" w:rsidR="00661DE4" w:rsidRPr="005862F2" w:rsidRDefault="00661DE4" w:rsidP="00661DE4">
      <w:pPr>
        <w:pStyle w:val="Heading2"/>
        <w:rPr>
          <w:color w:val="7030A0"/>
        </w:rPr>
      </w:pPr>
      <w:bookmarkStart w:id="17" w:name="_Toc495570465"/>
      <w:bookmarkStart w:id="18" w:name="_Toc502675750"/>
      <w:r w:rsidRPr="005862F2">
        <w:rPr>
          <w:color w:val="7030A0"/>
        </w:rPr>
        <w:t>Victorian Legislative Framework</w:t>
      </w:r>
      <w:bookmarkEnd w:id="17"/>
      <w:bookmarkEnd w:id="18"/>
    </w:p>
    <w:p w14:paraId="0D94BD72" w14:textId="77777777" w:rsidR="00661DE4" w:rsidRPr="00894F6F" w:rsidRDefault="00661DE4" w:rsidP="00661DE4">
      <w:pPr>
        <w:jc w:val="both"/>
      </w:pPr>
      <w:r w:rsidRPr="00894F6F">
        <w:t xml:space="preserve">Gambling is regulated in Victoria by the </w:t>
      </w:r>
      <w:r w:rsidRPr="00894F6F">
        <w:rPr>
          <w:i/>
        </w:rPr>
        <w:t>Gambling Regulation Act 2003</w:t>
      </w:r>
      <w:r w:rsidRPr="00894F6F">
        <w:t>, Planning</w:t>
      </w:r>
      <w:r w:rsidRPr="00894F6F">
        <w:rPr>
          <w:i/>
        </w:rPr>
        <w:t xml:space="preserve"> and Environment Act 1987</w:t>
      </w:r>
      <w:r w:rsidRPr="00894F6F">
        <w:t xml:space="preserve"> and </w:t>
      </w:r>
      <w:r w:rsidRPr="00894F6F">
        <w:rPr>
          <w:i/>
        </w:rPr>
        <w:t>Local Government Act 1989</w:t>
      </w:r>
      <w:r w:rsidRPr="00894F6F">
        <w:t xml:space="preserve">. </w:t>
      </w:r>
    </w:p>
    <w:p w14:paraId="1E346D8C" w14:textId="77777777" w:rsidR="00661DE4" w:rsidRPr="00EF66B8" w:rsidRDefault="00661DE4" w:rsidP="00EF66B8">
      <w:pPr>
        <w:pStyle w:val="Heading2"/>
        <w:rPr>
          <w:color w:val="7030A0"/>
        </w:rPr>
      </w:pPr>
      <w:bookmarkStart w:id="19" w:name="_Toc495570466"/>
      <w:bookmarkStart w:id="20" w:name="_Toc502675751"/>
      <w:r w:rsidRPr="00EF66B8">
        <w:rPr>
          <w:color w:val="7030A0"/>
        </w:rPr>
        <w:t>Gambling Regulation Act 2003</w:t>
      </w:r>
      <w:bookmarkEnd w:id="19"/>
      <w:bookmarkEnd w:id="20"/>
    </w:p>
    <w:p w14:paraId="5C5B5100" w14:textId="77777777" w:rsidR="00661DE4" w:rsidRPr="00894F6F" w:rsidRDefault="00661DE4" w:rsidP="00661DE4">
      <w:pPr>
        <w:pStyle w:val="NoSpacing"/>
        <w:rPr>
          <w:lang w:val="en-AU"/>
        </w:rPr>
      </w:pPr>
      <w:r w:rsidRPr="00894F6F">
        <w:rPr>
          <w:lang w:val="en-AU"/>
        </w:rPr>
        <w:t xml:space="preserve">The </w:t>
      </w:r>
      <w:r w:rsidRPr="00894F6F">
        <w:rPr>
          <w:i/>
          <w:lang w:val="en-AU"/>
        </w:rPr>
        <w:t>Gambling Regulation Act</w:t>
      </w:r>
      <w:r w:rsidRPr="00894F6F">
        <w:rPr>
          <w:lang w:val="en-AU"/>
        </w:rPr>
        <w:t xml:space="preserve"> provides the legislative framework for gambling and identifies the responsible authorities and the extent of their powers to control and manage gambling. The Act was subsequently amended, resulting in the </w:t>
      </w:r>
      <w:r w:rsidRPr="00894F6F">
        <w:rPr>
          <w:i/>
          <w:iCs/>
          <w:lang w:val="en-AU"/>
        </w:rPr>
        <w:t>Victorian Commission for Gambling and Liquor Regulation Bill 2011</w:t>
      </w:r>
      <w:r w:rsidRPr="00894F6F">
        <w:rPr>
          <w:lang w:val="en-AU"/>
        </w:rPr>
        <w:t>. The Bill combined the regulation of gambling and liquor and the establishment of the VCGLR to oversee the conduct of gambling in Victoria and assess applications for gambling and liquor licenses who sets the number of machines.</w:t>
      </w:r>
    </w:p>
    <w:p w14:paraId="363F4F3B" w14:textId="77777777" w:rsidR="00661DE4" w:rsidRDefault="00661DE4" w:rsidP="00661DE4">
      <w:pPr>
        <w:pStyle w:val="Heading3"/>
        <w:rPr>
          <w:color w:val="31849B" w:themeColor="accent5" w:themeShade="BF"/>
        </w:rPr>
      </w:pPr>
      <w:bookmarkStart w:id="21" w:name="_Toc495570467"/>
      <w:bookmarkStart w:id="22" w:name="_Toc502675752"/>
    </w:p>
    <w:p w14:paraId="35CF694B" w14:textId="77777777" w:rsidR="00661DE4" w:rsidRPr="00EF66B8" w:rsidRDefault="00661DE4" w:rsidP="00EF66B8">
      <w:pPr>
        <w:pStyle w:val="Heading2"/>
        <w:rPr>
          <w:color w:val="7030A0"/>
        </w:rPr>
      </w:pPr>
      <w:r w:rsidRPr="00EF66B8">
        <w:rPr>
          <w:color w:val="7030A0"/>
        </w:rPr>
        <w:t>Planning and Environment Act 1987</w:t>
      </w:r>
      <w:bookmarkEnd w:id="21"/>
      <w:bookmarkEnd w:id="22"/>
    </w:p>
    <w:p w14:paraId="71073A6F" w14:textId="77777777" w:rsidR="00661DE4" w:rsidRPr="00894F6F" w:rsidRDefault="00661DE4" w:rsidP="00661DE4">
      <w:pPr>
        <w:pStyle w:val="NoSpacing"/>
        <w:rPr>
          <w:lang w:val="en-AU"/>
        </w:rPr>
      </w:pPr>
      <w:r w:rsidRPr="00894F6F">
        <w:rPr>
          <w:lang w:val="en-AU"/>
        </w:rPr>
        <w:t xml:space="preserve">Under the </w:t>
      </w:r>
      <w:r w:rsidRPr="00894F6F">
        <w:rPr>
          <w:i/>
          <w:lang w:val="en-AU"/>
        </w:rPr>
        <w:t xml:space="preserve">Planning and Environment Act 1987, </w:t>
      </w:r>
      <w:r w:rsidRPr="00894F6F">
        <w:rPr>
          <w:lang w:val="en-AU"/>
        </w:rPr>
        <w:t xml:space="preserve">local government is the responsible authority for the consideration of planning applications related to the installation and use of EGMs in its municipality. In 2014, the Electronic Gaming Policy was adopted and incorporated into the Wyndham Planning Scheme Clause 22.03.  The objective of this policy is to guide decision making for the location, design and operations of EGMs and gaming venues and identify locations where EGM venues are prohibited. </w:t>
      </w:r>
    </w:p>
    <w:p w14:paraId="3D59AC82" w14:textId="77777777" w:rsidR="00661DE4" w:rsidRDefault="00661DE4" w:rsidP="00661DE4">
      <w:pPr>
        <w:pStyle w:val="Heading3"/>
        <w:rPr>
          <w:color w:val="31849B" w:themeColor="accent5" w:themeShade="BF"/>
        </w:rPr>
      </w:pPr>
      <w:bookmarkStart w:id="23" w:name="_Toc495570468"/>
      <w:bookmarkStart w:id="24" w:name="_Toc502675753"/>
    </w:p>
    <w:p w14:paraId="343BDE8E" w14:textId="77777777" w:rsidR="00661DE4" w:rsidRPr="00EF66B8" w:rsidRDefault="00661DE4" w:rsidP="00EF66B8">
      <w:pPr>
        <w:pStyle w:val="Heading2"/>
        <w:rPr>
          <w:color w:val="7030A0"/>
        </w:rPr>
      </w:pPr>
      <w:r w:rsidRPr="00EF66B8">
        <w:rPr>
          <w:color w:val="7030A0"/>
        </w:rPr>
        <w:t>Local Government Act 1989</w:t>
      </w:r>
      <w:bookmarkEnd w:id="23"/>
      <w:bookmarkEnd w:id="24"/>
    </w:p>
    <w:p w14:paraId="77D5B391" w14:textId="77777777" w:rsidR="00661DE4" w:rsidRDefault="00661DE4" w:rsidP="00661DE4">
      <w:pPr>
        <w:pStyle w:val="NoSpacing"/>
        <w:rPr>
          <w:rFonts w:cs="Arial"/>
          <w:lang w:val="en-AU"/>
        </w:rPr>
      </w:pPr>
      <w:r w:rsidRPr="00894F6F">
        <w:rPr>
          <w:lang w:val="en-AU"/>
        </w:rPr>
        <w:t>The Local Government Act confers a role on Council to represent the needs and advocate on behalf of the local community. Local Councils can represent the community on EGMs by submitting a S</w:t>
      </w:r>
      <w:r>
        <w:rPr>
          <w:lang w:val="en-AU"/>
        </w:rPr>
        <w:t xml:space="preserve">ocial and </w:t>
      </w:r>
      <w:r w:rsidRPr="00894F6F">
        <w:rPr>
          <w:lang w:val="en-AU"/>
        </w:rPr>
        <w:t>E</w:t>
      </w:r>
      <w:r>
        <w:rPr>
          <w:lang w:val="en-AU"/>
        </w:rPr>
        <w:t xml:space="preserve">conomic </w:t>
      </w:r>
      <w:r w:rsidRPr="00894F6F">
        <w:rPr>
          <w:lang w:val="en-AU"/>
        </w:rPr>
        <w:t>I</w:t>
      </w:r>
      <w:r>
        <w:rPr>
          <w:lang w:val="en-AU"/>
        </w:rPr>
        <w:t xml:space="preserve">mpact </w:t>
      </w:r>
      <w:r w:rsidRPr="00894F6F">
        <w:rPr>
          <w:lang w:val="en-AU"/>
        </w:rPr>
        <w:t>A</w:t>
      </w:r>
      <w:r>
        <w:rPr>
          <w:lang w:val="en-AU"/>
        </w:rPr>
        <w:t>ssessment (SEIA)</w:t>
      </w:r>
      <w:r w:rsidRPr="00894F6F">
        <w:rPr>
          <w:lang w:val="en-AU"/>
        </w:rPr>
        <w:t xml:space="preserve"> to the VCGLR. </w:t>
      </w:r>
      <w:r w:rsidRPr="00894F6F">
        <w:rPr>
          <w:rFonts w:cs="Arial"/>
          <w:lang w:val="en-AU"/>
        </w:rPr>
        <w:t xml:space="preserve"> Providing that land use requirements are satisfied; local government is largely restricted to acting as an advocate for the community once an application for additional </w:t>
      </w:r>
      <w:r>
        <w:rPr>
          <w:rFonts w:cs="Arial"/>
          <w:lang w:val="en-AU"/>
        </w:rPr>
        <w:t xml:space="preserve">or new </w:t>
      </w:r>
      <w:r w:rsidRPr="00894F6F">
        <w:rPr>
          <w:rFonts w:cs="Arial"/>
          <w:lang w:val="en-AU"/>
        </w:rPr>
        <w:t>EGMs is announced.</w:t>
      </w:r>
      <w:bookmarkStart w:id="25" w:name="_Toc495570469"/>
    </w:p>
    <w:p w14:paraId="5C56B48A" w14:textId="77777777" w:rsidR="00661DE4" w:rsidRDefault="00661DE4" w:rsidP="00661DE4">
      <w:pPr>
        <w:pStyle w:val="NoSpacing"/>
        <w:rPr>
          <w:rFonts w:cs="Arial"/>
          <w:lang w:val="en-AU"/>
        </w:rPr>
      </w:pPr>
    </w:p>
    <w:p w14:paraId="0558FD82" w14:textId="77777777" w:rsidR="00661DE4" w:rsidRPr="006A1245" w:rsidRDefault="00661DE4" w:rsidP="00661DE4">
      <w:pPr>
        <w:pStyle w:val="NoSpacing"/>
        <w:rPr>
          <w:rFonts w:cs="Arial"/>
          <w:lang w:val="en-AU"/>
        </w:rPr>
      </w:pPr>
      <w:r>
        <w:rPr>
          <w:rFonts w:cs="Arial"/>
          <w:lang w:val="en-AU"/>
        </w:rPr>
        <w:t>It is therefore important to emphasise that local government is not the responsible authority for the issuing of a licence to operate EGMs; this sits with the VCGLR and planning decisions can be appealed at Victorian Administrative Appeals Tribunal (VCAT).</w:t>
      </w:r>
    </w:p>
    <w:p w14:paraId="420222DE" w14:textId="77777777" w:rsidR="00661DE4" w:rsidRDefault="00661DE4" w:rsidP="00661DE4">
      <w:pPr>
        <w:pStyle w:val="Heading3"/>
        <w:rPr>
          <w:color w:val="31849B" w:themeColor="accent5" w:themeShade="BF"/>
        </w:rPr>
      </w:pPr>
      <w:bookmarkStart w:id="26" w:name="_Toc502675754"/>
    </w:p>
    <w:p w14:paraId="670072CA" w14:textId="77777777" w:rsidR="00661DE4" w:rsidRPr="00EF66B8" w:rsidRDefault="00661DE4" w:rsidP="00EF66B8">
      <w:pPr>
        <w:pStyle w:val="Heading2"/>
        <w:rPr>
          <w:color w:val="7030A0"/>
        </w:rPr>
      </w:pPr>
      <w:r w:rsidRPr="00EF66B8">
        <w:rPr>
          <w:color w:val="7030A0"/>
        </w:rPr>
        <w:t>Public Health and Wellbeing Act 2008</w:t>
      </w:r>
      <w:bookmarkEnd w:id="25"/>
      <w:bookmarkEnd w:id="26"/>
    </w:p>
    <w:p w14:paraId="1740AEEA" w14:textId="77777777" w:rsidR="00661DE4" w:rsidRPr="00894F6F" w:rsidRDefault="00661DE4" w:rsidP="00661DE4">
      <w:pPr>
        <w:pStyle w:val="Default"/>
        <w:rPr>
          <w:rFonts w:asciiTheme="minorHAnsi" w:hAnsiTheme="minorHAnsi"/>
          <w:sz w:val="22"/>
          <w:szCs w:val="22"/>
        </w:rPr>
      </w:pPr>
      <w:r w:rsidRPr="00894F6F">
        <w:rPr>
          <w:rFonts w:asciiTheme="minorHAnsi" w:hAnsiTheme="minorHAnsi"/>
          <w:sz w:val="22"/>
          <w:szCs w:val="22"/>
        </w:rPr>
        <w:t>This legislation sets out the function of local government ‘to seek to protect, improve and promote public health and wellbeing within the municipal district.’  Further to this, the Act states the ‘precautionary principle’ – if a public health risk poses a serious threat, lack of full scientific certainty should not be used as a reason for postponing measures to prevent or control the public health risk.</w:t>
      </w:r>
    </w:p>
    <w:p w14:paraId="27830054" w14:textId="77777777" w:rsidR="00661DE4" w:rsidRPr="00894F6F" w:rsidRDefault="00661DE4" w:rsidP="00661DE4">
      <w:pPr>
        <w:pStyle w:val="Default"/>
        <w:rPr>
          <w:rFonts w:asciiTheme="minorHAnsi" w:hAnsiTheme="minorHAnsi"/>
          <w:sz w:val="22"/>
          <w:szCs w:val="22"/>
        </w:rPr>
      </w:pPr>
    </w:p>
    <w:p w14:paraId="67B06EA1" w14:textId="77777777" w:rsidR="00661DE4" w:rsidRDefault="00661DE4" w:rsidP="00661DE4">
      <w:r w:rsidRPr="00894F6F">
        <w:t>Under this Act, local governments are required to develop a Municipal Health and Wellbeing Plan. Wyndham City’s Health and Wellbeing Plan 2017-2021 is integrated in the City Plan.</w:t>
      </w:r>
    </w:p>
    <w:p w14:paraId="769107B4" w14:textId="77777777" w:rsidR="00661DE4" w:rsidRPr="00EF66B8" w:rsidRDefault="00661DE4" w:rsidP="00EF66B8">
      <w:pPr>
        <w:pStyle w:val="Heading2"/>
        <w:rPr>
          <w:color w:val="7030A0"/>
        </w:rPr>
      </w:pPr>
      <w:bookmarkStart w:id="27" w:name="_Toc495570470"/>
      <w:bookmarkStart w:id="28" w:name="_Toc502675755"/>
      <w:r w:rsidRPr="00EF66B8">
        <w:rPr>
          <w:color w:val="7030A0"/>
        </w:rPr>
        <w:lastRenderedPageBreak/>
        <w:t>Wyndham City Plan 2017-2021</w:t>
      </w:r>
      <w:bookmarkEnd w:id="27"/>
      <w:bookmarkEnd w:id="28"/>
    </w:p>
    <w:p w14:paraId="34E16FD7" w14:textId="77777777" w:rsidR="00661DE4" w:rsidRDefault="00661DE4" w:rsidP="00661DE4">
      <w:pPr>
        <w:pStyle w:val="Default"/>
        <w:rPr>
          <w:rFonts w:asciiTheme="minorHAnsi" w:hAnsiTheme="minorHAnsi"/>
          <w:sz w:val="22"/>
          <w:szCs w:val="22"/>
        </w:rPr>
      </w:pPr>
    </w:p>
    <w:p w14:paraId="478C50DD" w14:textId="77777777" w:rsidR="00661DE4" w:rsidRPr="00894F6F" w:rsidRDefault="00661DE4" w:rsidP="00661DE4">
      <w:pPr>
        <w:pStyle w:val="Default"/>
        <w:rPr>
          <w:rFonts w:asciiTheme="minorHAnsi" w:hAnsiTheme="minorHAnsi"/>
          <w:bCs/>
          <w:i/>
          <w:sz w:val="22"/>
          <w:szCs w:val="22"/>
        </w:rPr>
      </w:pPr>
      <w:r>
        <w:rPr>
          <w:rFonts w:asciiTheme="minorHAnsi" w:hAnsiTheme="minorHAnsi" w:cstheme="minorHAnsi"/>
          <w:sz w:val="22"/>
          <w:szCs w:val="22"/>
        </w:rPr>
        <w:t xml:space="preserve">The City Plan </w:t>
      </w:r>
      <w:r w:rsidRPr="00894F6F">
        <w:rPr>
          <w:rFonts w:asciiTheme="minorHAnsi" w:hAnsiTheme="minorHAnsi" w:cstheme="minorHAnsi"/>
          <w:sz w:val="22"/>
          <w:szCs w:val="22"/>
        </w:rPr>
        <w:t>Strategy 1.2 states that</w:t>
      </w:r>
      <w:r w:rsidRPr="00894F6F">
        <w:t xml:space="preserve"> </w:t>
      </w:r>
      <w:r w:rsidRPr="00894F6F">
        <w:rPr>
          <w:rFonts w:asciiTheme="minorHAnsi" w:hAnsiTheme="minorHAnsi"/>
          <w:bCs/>
          <w:i/>
          <w:sz w:val="22"/>
          <w:szCs w:val="22"/>
        </w:rPr>
        <w:t>Council will</w:t>
      </w:r>
      <w:r w:rsidRPr="00894F6F">
        <w:rPr>
          <w:rFonts w:asciiTheme="minorHAnsi" w:hAnsiTheme="minorHAnsi"/>
          <w:bCs/>
          <w:sz w:val="22"/>
          <w:szCs w:val="22"/>
        </w:rPr>
        <w:t xml:space="preserve"> </w:t>
      </w:r>
      <w:r w:rsidRPr="00894F6F">
        <w:rPr>
          <w:rFonts w:asciiTheme="minorHAnsi" w:hAnsiTheme="minorHAnsi"/>
          <w:bCs/>
          <w:i/>
          <w:sz w:val="22"/>
          <w:szCs w:val="22"/>
        </w:rPr>
        <w:t>endeavour to increase health and wellbeing outcomes of our community by engaging with the State and Federal Governments on gambling reform and reducing harmful alcohol and drug</w:t>
      </w:r>
      <w:r>
        <w:rPr>
          <w:rFonts w:asciiTheme="minorHAnsi" w:hAnsiTheme="minorHAnsi"/>
          <w:bCs/>
          <w:i/>
          <w:sz w:val="22"/>
          <w:szCs w:val="22"/>
        </w:rPr>
        <w:t xml:space="preserve"> use</w:t>
      </w:r>
      <w:r w:rsidRPr="00894F6F">
        <w:rPr>
          <w:rFonts w:asciiTheme="minorHAnsi" w:hAnsiTheme="minorHAnsi"/>
          <w:bCs/>
          <w:i/>
          <w:sz w:val="22"/>
          <w:szCs w:val="22"/>
        </w:rPr>
        <w:t>, particularly among young people and other at risk community cohorts.</w:t>
      </w:r>
    </w:p>
    <w:p w14:paraId="6D070C3E" w14:textId="77777777" w:rsidR="00661DE4" w:rsidRDefault="00661DE4" w:rsidP="00661DE4">
      <w:pPr>
        <w:pStyle w:val="Default"/>
        <w:rPr>
          <w:rFonts w:asciiTheme="minorHAnsi" w:hAnsiTheme="minorHAnsi"/>
          <w:sz w:val="22"/>
          <w:szCs w:val="22"/>
        </w:rPr>
      </w:pPr>
    </w:p>
    <w:p w14:paraId="426D9E2F" w14:textId="77777777" w:rsidR="00661DE4" w:rsidRPr="00EF289A" w:rsidRDefault="00661DE4" w:rsidP="00661DE4">
      <w:pPr>
        <w:pStyle w:val="Default"/>
        <w:rPr>
          <w:rFonts w:asciiTheme="minorHAnsi" w:hAnsiTheme="minorHAnsi" w:cstheme="minorHAnsi"/>
          <w:sz w:val="22"/>
          <w:szCs w:val="22"/>
        </w:rPr>
      </w:pPr>
      <w:r>
        <w:rPr>
          <w:rFonts w:asciiTheme="minorHAnsi" w:hAnsiTheme="minorHAnsi" w:cstheme="minorHAnsi"/>
          <w:sz w:val="22"/>
          <w:szCs w:val="22"/>
        </w:rPr>
        <w:t xml:space="preserve">As part of the responsibilities, Council is committed and </w:t>
      </w:r>
      <w:r w:rsidRPr="00EF289A">
        <w:rPr>
          <w:rFonts w:asciiTheme="minorHAnsi" w:hAnsiTheme="minorHAnsi" w:cstheme="minorHAnsi"/>
          <w:sz w:val="22"/>
          <w:szCs w:val="22"/>
        </w:rPr>
        <w:t>acknowledges that local government has a responsibility for promoting and protecting the health and wellbeing of the community</w:t>
      </w:r>
      <w:r>
        <w:rPr>
          <w:rFonts w:asciiTheme="minorHAnsi" w:hAnsiTheme="minorHAnsi" w:cstheme="minorHAnsi"/>
          <w:sz w:val="22"/>
          <w:szCs w:val="22"/>
        </w:rPr>
        <w:t xml:space="preserve"> through the implementation of this policy</w:t>
      </w:r>
      <w:r w:rsidRPr="00EF289A">
        <w:rPr>
          <w:rFonts w:asciiTheme="minorHAnsi" w:hAnsiTheme="minorHAnsi" w:cstheme="minorHAnsi"/>
          <w:sz w:val="22"/>
          <w:szCs w:val="22"/>
        </w:rPr>
        <w:t>. Council is also responsible for enforcing the local planning scheme that provides the direction for decisions related to the location of EGMs in the municipality.</w:t>
      </w:r>
      <w:r>
        <w:rPr>
          <w:rFonts w:asciiTheme="minorHAnsi" w:hAnsiTheme="minorHAnsi" w:cstheme="minorHAnsi"/>
          <w:sz w:val="22"/>
          <w:szCs w:val="22"/>
        </w:rPr>
        <w:t xml:space="preserve"> </w:t>
      </w:r>
    </w:p>
    <w:p w14:paraId="025A4E10" w14:textId="77777777" w:rsidR="00661DE4" w:rsidRDefault="00661DE4" w:rsidP="00661DE4">
      <w:pPr>
        <w:pStyle w:val="Default"/>
        <w:rPr>
          <w:rFonts w:asciiTheme="minorHAnsi" w:hAnsiTheme="minorHAnsi" w:cstheme="minorHAnsi"/>
          <w:sz w:val="22"/>
          <w:szCs w:val="22"/>
        </w:rPr>
      </w:pPr>
    </w:p>
    <w:p w14:paraId="5D717F3F" w14:textId="77777777" w:rsidR="00661DE4" w:rsidRPr="00894F6F" w:rsidRDefault="00661DE4" w:rsidP="00661DE4"/>
    <w:p w14:paraId="662B8002" w14:textId="77777777" w:rsidR="00661DE4" w:rsidRPr="00894F6F" w:rsidRDefault="00661DE4" w:rsidP="00661DE4">
      <w:pPr>
        <w:sectPr w:rsidR="00661DE4" w:rsidRPr="00894F6F">
          <w:headerReference w:type="default" r:id="rId13"/>
          <w:footerReference w:type="default" r:id="rId14"/>
          <w:pgSz w:w="11906" w:h="16838"/>
          <w:pgMar w:top="1440" w:right="1440" w:bottom="1440" w:left="1440" w:header="708" w:footer="708" w:gutter="0"/>
          <w:cols w:space="708"/>
          <w:docGrid w:linePitch="360"/>
        </w:sectPr>
      </w:pPr>
      <w:r w:rsidRPr="00894F6F">
        <w:br w:type="page"/>
      </w:r>
    </w:p>
    <w:p w14:paraId="2DDAC1B1" w14:textId="77777777" w:rsidR="00661DE4" w:rsidRPr="00EF66B8" w:rsidRDefault="00661DE4" w:rsidP="00661DE4">
      <w:pPr>
        <w:pStyle w:val="Heading1"/>
        <w:rPr>
          <w:b/>
          <w:color w:val="7030A0"/>
        </w:rPr>
      </w:pPr>
      <w:r w:rsidRPr="00EF66B8">
        <w:rPr>
          <w:b/>
          <w:color w:val="7030A0"/>
        </w:rPr>
        <w:lastRenderedPageBreak/>
        <w:t>Electronic Gaming Machines in Wyndham</w:t>
      </w:r>
    </w:p>
    <w:p w14:paraId="3C456B88" w14:textId="77777777" w:rsidR="00661DE4" w:rsidRDefault="00661DE4" w:rsidP="00661DE4">
      <w:pPr>
        <w:spacing w:after="120"/>
        <w:rPr>
          <w:rFonts w:cstheme="minorHAnsi"/>
        </w:rPr>
      </w:pPr>
      <w:r w:rsidRPr="00B20EC1">
        <w:rPr>
          <w:rFonts w:cstheme="minorHAnsi"/>
        </w:rPr>
        <w:t xml:space="preserve">The Gambling Regulation Act 2003 requires the regulator, the VCGLR, to issue either a club venue operator licence or a hotel venue operator licence to an applicant. </w:t>
      </w:r>
    </w:p>
    <w:p w14:paraId="4E3B1E24" w14:textId="77777777" w:rsidR="00661DE4" w:rsidRDefault="00661DE4" w:rsidP="00661DE4">
      <w:pPr>
        <w:spacing w:after="120"/>
        <w:rPr>
          <w:rFonts w:cstheme="minorHAnsi"/>
        </w:rPr>
      </w:pPr>
      <w:r>
        <w:rPr>
          <w:rFonts w:cstheme="minorHAnsi"/>
        </w:rPr>
        <w:t>A club must be</w:t>
      </w:r>
      <w:r w:rsidRPr="00B20EC1">
        <w:rPr>
          <w:rFonts w:cstheme="minorHAnsi"/>
        </w:rPr>
        <w:t xml:space="preserve"> a non-profit organisation wi</w:t>
      </w:r>
      <w:r>
        <w:rPr>
          <w:rFonts w:cstheme="minorHAnsi"/>
        </w:rPr>
        <w:t>th a social or sporting purpose, which</w:t>
      </w:r>
      <w:r w:rsidRPr="00B20EC1">
        <w:rPr>
          <w:rFonts w:cstheme="minorHAnsi"/>
        </w:rPr>
        <w:t xml:space="preserve"> are either registered as an incorporated association in Victoria or as a company limited by guarantee (eg. no shareholders and no dividends paid).</w:t>
      </w:r>
      <w:r>
        <w:rPr>
          <w:rFonts w:cstheme="minorHAnsi"/>
        </w:rPr>
        <w:t xml:space="preserve"> </w:t>
      </w:r>
      <w:r w:rsidRPr="00B20EC1">
        <w:rPr>
          <w:rFonts w:cstheme="minorHAnsi"/>
        </w:rPr>
        <w:t>A social or sporting club (eg. football, golf, RSL) must then operate its venue under a club liquor licence, meaning that visitors and guests must sign in when they enter.</w:t>
      </w:r>
      <w:r>
        <w:rPr>
          <w:rFonts w:cstheme="minorHAnsi"/>
        </w:rPr>
        <w:t xml:space="preserve"> </w:t>
      </w:r>
    </w:p>
    <w:p w14:paraId="4D002DD5" w14:textId="77777777" w:rsidR="00661DE4" w:rsidRPr="00B20EC1" w:rsidRDefault="00661DE4" w:rsidP="00661DE4">
      <w:pPr>
        <w:spacing w:after="120"/>
        <w:rPr>
          <w:rFonts w:cstheme="minorHAnsi"/>
        </w:rPr>
      </w:pPr>
      <w:r w:rsidRPr="00B20EC1">
        <w:rPr>
          <w:rFonts w:cstheme="minorHAnsi"/>
        </w:rPr>
        <w:t>A hotel venue operator licence can be issued to a for-profit organisation registered as a company. A hotel venue operator licence cannot be issued to an individual or a partnership.</w:t>
      </w:r>
      <w:r>
        <w:rPr>
          <w:rFonts w:cstheme="minorHAnsi"/>
        </w:rPr>
        <w:t xml:space="preserve"> </w:t>
      </w:r>
      <w:r w:rsidRPr="00B20EC1">
        <w:rPr>
          <w:rFonts w:cstheme="minorHAnsi"/>
        </w:rPr>
        <w:t>These companies must operate their venue under a general liquor licence</w:t>
      </w:r>
      <w:r>
        <w:rPr>
          <w:rFonts w:cstheme="minorHAnsi"/>
        </w:rPr>
        <w:t xml:space="preserve">. As </w:t>
      </w:r>
      <w:r w:rsidRPr="00B20EC1">
        <w:rPr>
          <w:rFonts w:cstheme="minorHAnsi"/>
        </w:rPr>
        <w:t xml:space="preserve">many hotel venues have extended trading hours, they generally operate under a late-night general liquor licence, allowing them to trade beyond 1.00am. There is no sign in requirements at </w:t>
      </w:r>
      <w:r>
        <w:rPr>
          <w:rFonts w:cstheme="minorHAnsi"/>
        </w:rPr>
        <w:t>hotels.</w:t>
      </w:r>
    </w:p>
    <w:p w14:paraId="1AEB2DA8" w14:textId="77777777" w:rsidR="00661DE4" w:rsidRPr="00894F6F" w:rsidRDefault="00661DE4" w:rsidP="00661DE4">
      <w:pPr>
        <w:spacing w:after="120"/>
      </w:pPr>
      <w:r w:rsidRPr="00894F6F">
        <w:t>EGM caps are a legal limit on how many entitlements are available for gaming. In Victoria EGM limits apply at the state, regional, municipal and venue levels. Across Victoria the total number of EGMs cannot exceed 30,000. Of these:</w:t>
      </w:r>
    </w:p>
    <w:p w14:paraId="4B434160" w14:textId="77777777" w:rsidR="00661DE4" w:rsidRPr="00894F6F" w:rsidRDefault="00661DE4" w:rsidP="00661DE4">
      <w:pPr>
        <w:numPr>
          <w:ilvl w:val="0"/>
          <w:numId w:val="10"/>
        </w:numPr>
        <w:spacing w:after="120"/>
        <w:contextualSpacing/>
      </w:pPr>
      <w:r w:rsidRPr="00894F6F">
        <w:t>2,628 are allocated to the Melbourne casino and;</w:t>
      </w:r>
    </w:p>
    <w:p w14:paraId="6E2FD451" w14:textId="77777777" w:rsidR="00661DE4" w:rsidRDefault="00661DE4" w:rsidP="00661DE4">
      <w:pPr>
        <w:numPr>
          <w:ilvl w:val="0"/>
          <w:numId w:val="10"/>
        </w:numPr>
        <w:spacing w:after="120"/>
        <w:contextualSpacing/>
      </w:pPr>
      <w:r w:rsidRPr="00894F6F">
        <w:t>27,372 are allocated equally between clubs and hotels – clubs have a cap of 13,686 as do hotels.</w:t>
      </w:r>
    </w:p>
    <w:p w14:paraId="3BF11C77" w14:textId="77777777" w:rsidR="00661DE4" w:rsidRDefault="00661DE4" w:rsidP="00661DE4">
      <w:pPr>
        <w:spacing w:after="120"/>
        <w:contextualSpacing/>
      </w:pPr>
      <w:r>
        <w:t>At the municipal level, t</w:t>
      </w:r>
      <w:r w:rsidRPr="006C5E06">
        <w:t>he Minister for Gaming and Liquor Regulation sets the maximum number of entitlements available in each region</w:t>
      </w:r>
      <w:r>
        <w:t>al</w:t>
      </w:r>
      <w:r w:rsidRPr="006C5E06">
        <w:t xml:space="preserve"> and municipal district</w:t>
      </w:r>
      <w:r>
        <w:t>. The most recent change was in November 2017. The table below summarises what the regional and municipal districts are, how they applied to Wyndham before and after the changes in November 2017.</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1550"/>
        <w:gridCol w:w="992"/>
        <w:gridCol w:w="1418"/>
        <w:gridCol w:w="1276"/>
        <w:gridCol w:w="1895"/>
        <w:gridCol w:w="1035"/>
      </w:tblGrid>
      <w:tr w:rsidR="00661DE4" w:rsidRPr="007040A6" w14:paraId="3536CFA9" w14:textId="77777777" w:rsidTr="00661DE4">
        <w:trPr>
          <w:trHeight w:val="300"/>
        </w:trPr>
        <w:tc>
          <w:tcPr>
            <w:tcW w:w="860" w:type="dxa"/>
            <w:tcBorders>
              <w:top w:val="single" w:sz="4" w:space="0" w:color="auto"/>
              <w:bottom w:val="nil"/>
              <w:right w:val="nil"/>
            </w:tcBorders>
            <w:noWrap/>
            <w:hideMark/>
          </w:tcPr>
          <w:p w14:paraId="2BDDD095" w14:textId="77777777" w:rsidR="00661DE4" w:rsidRPr="007040A6" w:rsidRDefault="00661DE4" w:rsidP="00661DE4">
            <w:pPr>
              <w:pStyle w:val="NoSpacing"/>
              <w:rPr>
                <w:b/>
                <w:i/>
                <w:sz w:val="16"/>
                <w:szCs w:val="16"/>
                <w:lang w:val="en-AU"/>
              </w:rPr>
            </w:pPr>
          </w:p>
        </w:tc>
        <w:tc>
          <w:tcPr>
            <w:tcW w:w="1550" w:type="dxa"/>
            <w:tcBorders>
              <w:top w:val="single" w:sz="4" w:space="0" w:color="auto"/>
              <w:left w:val="nil"/>
              <w:bottom w:val="nil"/>
              <w:right w:val="dotted" w:sz="4" w:space="0" w:color="auto"/>
            </w:tcBorders>
          </w:tcPr>
          <w:p w14:paraId="7797A550" w14:textId="77777777" w:rsidR="00661DE4" w:rsidRPr="007040A6" w:rsidRDefault="00661DE4" w:rsidP="00661DE4">
            <w:pPr>
              <w:pStyle w:val="NoSpacing"/>
              <w:rPr>
                <w:b/>
                <w:i/>
                <w:sz w:val="16"/>
                <w:szCs w:val="16"/>
                <w:lang w:val="en-AU"/>
              </w:rPr>
            </w:pPr>
          </w:p>
        </w:tc>
        <w:tc>
          <w:tcPr>
            <w:tcW w:w="992" w:type="dxa"/>
            <w:tcBorders>
              <w:top w:val="single" w:sz="4" w:space="0" w:color="auto"/>
              <w:left w:val="dotted" w:sz="4" w:space="0" w:color="auto"/>
              <w:bottom w:val="nil"/>
              <w:right w:val="dotted" w:sz="4" w:space="0" w:color="auto"/>
            </w:tcBorders>
            <w:noWrap/>
            <w:hideMark/>
          </w:tcPr>
          <w:p w14:paraId="0FADEF51" w14:textId="77777777" w:rsidR="00661DE4" w:rsidRPr="007040A6" w:rsidRDefault="00661DE4" w:rsidP="00661DE4">
            <w:pPr>
              <w:pStyle w:val="NoSpacing"/>
              <w:rPr>
                <w:b/>
                <w:i/>
                <w:sz w:val="16"/>
                <w:szCs w:val="16"/>
                <w:lang w:val="en-AU"/>
              </w:rPr>
            </w:pPr>
          </w:p>
        </w:tc>
        <w:tc>
          <w:tcPr>
            <w:tcW w:w="2694" w:type="dxa"/>
            <w:gridSpan w:val="2"/>
            <w:tcBorders>
              <w:top w:val="single" w:sz="4" w:space="0" w:color="auto"/>
              <w:left w:val="dotted" w:sz="4" w:space="0" w:color="auto"/>
              <w:bottom w:val="nil"/>
              <w:right w:val="dotted" w:sz="4" w:space="0" w:color="auto"/>
            </w:tcBorders>
            <w:noWrap/>
            <w:vAlign w:val="bottom"/>
            <w:hideMark/>
          </w:tcPr>
          <w:p w14:paraId="1EC2B6A4" w14:textId="77777777" w:rsidR="00661DE4" w:rsidRPr="007040A6" w:rsidRDefault="00661DE4" w:rsidP="00661DE4">
            <w:pPr>
              <w:pStyle w:val="NoSpacing"/>
              <w:rPr>
                <w:b/>
                <w:i/>
                <w:sz w:val="16"/>
                <w:szCs w:val="16"/>
                <w:lang w:val="en-AU"/>
              </w:rPr>
            </w:pPr>
            <w:r w:rsidRPr="007040A6">
              <w:rPr>
                <w:b/>
                <w:i/>
                <w:sz w:val="16"/>
                <w:szCs w:val="16"/>
                <w:lang w:val="en-AU"/>
              </w:rPr>
              <w:t>Before November 2017</w:t>
            </w:r>
          </w:p>
        </w:tc>
        <w:tc>
          <w:tcPr>
            <w:tcW w:w="2930" w:type="dxa"/>
            <w:gridSpan w:val="2"/>
            <w:tcBorders>
              <w:top w:val="single" w:sz="4" w:space="0" w:color="auto"/>
              <w:left w:val="dotted" w:sz="4" w:space="0" w:color="auto"/>
              <w:bottom w:val="nil"/>
            </w:tcBorders>
            <w:noWrap/>
            <w:vAlign w:val="bottom"/>
            <w:hideMark/>
          </w:tcPr>
          <w:p w14:paraId="2EE57E9B" w14:textId="77777777" w:rsidR="00661DE4" w:rsidRPr="007040A6" w:rsidRDefault="00661DE4" w:rsidP="00661DE4">
            <w:pPr>
              <w:pStyle w:val="NoSpacing"/>
              <w:rPr>
                <w:b/>
                <w:i/>
                <w:sz w:val="16"/>
                <w:szCs w:val="16"/>
                <w:lang w:val="en-AU"/>
              </w:rPr>
            </w:pPr>
            <w:r w:rsidRPr="007040A6">
              <w:rPr>
                <w:b/>
                <w:i/>
                <w:sz w:val="16"/>
                <w:szCs w:val="16"/>
                <w:lang w:val="en-AU"/>
              </w:rPr>
              <w:t>Since November 2017</w:t>
            </w:r>
          </w:p>
        </w:tc>
      </w:tr>
      <w:tr w:rsidR="00661DE4" w:rsidRPr="003B68AD" w14:paraId="78B9C0F3" w14:textId="77777777" w:rsidTr="00661DE4">
        <w:trPr>
          <w:trHeight w:val="300"/>
        </w:trPr>
        <w:tc>
          <w:tcPr>
            <w:tcW w:w="860" w:type="dxa"/>
            <w:tcBorders>
              <w:top w:val="nil"/>
              <w:bottom w:val="single" w:sz="4" w:space="0" w:color="auto"/>
              <w:right w:val="nil"/>
            </w:tcBorders>
            <w:noWrap/>
            <w:hideMark/>
          </w:tcPr>
          <w:p w14:paraId="12C94796" w14:textId="77777777" w:rsidR="00661DE4" w:rsidRPr="003B68AD" w:rsidRDefault="00661DE4" w:rsidP="00661DE4">
            <w:pPr>
              <w:pStyle w:val="NoSpacing"/>
              <w:rPr>
                <w:i/>
                <w:sz w:val="16"/>
                <w:szCs w:val="16"/>
                <w:lang w:val="en-AU"/>
              </w:rPr>
            </w:pPr>
          </w:p>
        </w:tc>
        <w:tc>
          <w:tcPr>
            <w:tcW w:w="1550" w:type="dxa"/>
            <w:tcBorders>
              <w:top w:val="nil"/>
              <w:left w:val="nil"/>
              <w:bottom w:val="single" w:sz="4" w:space="0" w:color="auto"/>
              <w:right w:val="dotted" w:sz="4" w:space="0" w:color="auto"/>
            </w:tcBorders>
            <w:vAlign w:val="bottom"/>
          </w:tcPr>
          <w:p w14:paraId="4ECBFA04" w14:textId="77777777" w:rsidR="00661DE4" w:rsidRPr="003B68AD" w:rsidRDefault="00661DE4" w:rsidP="00661DE4">
            <w:pPr>
              <w:pStyle w:val="NoSpacing"/>
              <w:rPr>
                <w:i/>
                <w:sz w:val="16"/>
                <w:szCs w:val="16"/>
                <w:lang w:val="en-AU"/>
              </w:rPr>
            </w:pPr>
            <w:r w:rsidRPr="003B68AD">
              <w:rPr>
                <w:i/>
                <w:sz w:val="16"/>
                <w:szCs w:val="16"/>
                <w:lang w:val="en-AU"/>
              </w:rPr>
              <w:t>Definition</w:t>
            </w:r>
          </w:p>
        </w:tc>
        <w:tc>
          <w:tcPr>
            <w:tcW w:w="992" w:type="dxa"/>
            <w:tcBorders>
              <w:top w:val="nil"/>
              <w:left w:val="dotted" w:sz="4" w:space="0" w:color="auto"/>
              <w:bottom w:val="single" w:sz="4" w:space="0" w:color="auto"/>
              <w:right w:val="dotted" w:sz="4" w:space="0" w:color="auto"/>
            </w:tcBorders>
            <w:noWrap/>
            <w:vAlign w:val="bottom"/>
            <w:hideMark/>
          </w:tcPr>
          <w:p w14:paraId="024351F6" w14:textId="77777777" w:rsidR="00661DE4" w:rsidRPr="003B68AD" w:rsidRDefault="00661DE4" w:rsidP="00661DE4">
            <w:pPr>
              <w:pStyle w:val="NoSpacing"/>
              <w:rPr>
                <w:i/>
                <w:sz w:val="16"/>
                <w:szCs w:val="16"/>
                <w:lang w:val="en-AU"/>
              </w:rPr>
            </w:pPr>
            <w:r w:rsidRPr="003B68AD">
              <w:rPr>
                <w:i/>
                <w:sz w:val="16"/>
                <w:szCs w:val="16"/>
                <w:lang w:val="en-AU"/>
              </w:rPr>
              <w:t>Came into effect</w:t>
            </w:r>
          </w:p>
        </w:tc>
        <w:tc>
          <w:tcPr>
            <w:tcW w:w="1418" w:type="dxa"/>
            <w:tcBorders>
              <w:top w:val="nil"/>
              <w:left w:val="dotted" w:sz="4" w:space="0" w:color="auto"/>
              <w:bottom w:val="single" w:sz="4" w:space="0" w:color="auto"/>
            </w:tcBorders>
            <w:noWrap/>
            <w:vAlign w:val="bottom"/>
            <w:hideMark/>
          </w:tcPr>
          <w:p w14:paraId="6BABEA0F" w14:textId="77777777" w:rsidR="00661DE4" w:rsidRPr="003B68AD" w:rsidRDefault="00661DE4" w:rsidP="00661DE4">
            <w:pPr>
              <w:pStyle w:val="NoSpacing"/>
              <w:rPr>
                <w:i/>
                <w:sz w:val="16"/>
                <w:szCs w:val="16"/>
                <w:lang w:val="en-AU"/>
              </w:rPr>
            </w:pPr>
            <w:r w:rsidRPr="003B68AD">
              <w:rPr>
                <w:i/>
                <w:sz w:val="16"/>
                <w:szCs w:val="16"/>
                <w:lang w:val="en-AU"/>
              </w:rPr>
              <w:t>Suburbs covered</w:t>
            </w:r>
          </w:p>
        </w:tc>
        <w:tc>
          <w:tcPr>
            <w:tcW w:w="1276" w:type="dxa"/>
            <w:tcBorders>
              <w:top w:val="nil"/>
              <w:bottom w:val="single" w:sz="4" w:space="0" w:color="auto"/>
              <w:right w:val="dotted" w:sz="4" w:space="0" w:color="auto"/>
            </w:tcBorders>
            <w:noWrap/>
            <w:vAlign w:val="bottom"/>
            <w:hideMark/>
          </w:tcPr>
          <w:p w14:paraId="3D3F3B49" w14:textId="77777777" w:rsidR="00661DE4" w:rsidRPr="003B68AD" w:rsidRDefault="00661DE4" w:rsidP="00661DE4">
            <w:pPr>
              <w:pStyle w:val="NoSpacing"/>
              <w:rPr>
                <w:i/>
                <w:sz w:val="16"/>
                <w:szCs w:val="16"/>
                <w:lang w:val="en-AU"/>
              </w:rPr>
            </w:pPr>
            <w:r w:rsidRPr="003B68AD">
              <w:rPr>
                <w:i/>
                <w:sz w:val="16"/>
                <w:szCs w:val="16"/>
                <w:lang w:val="en-AU"/>
              </w:rPr>
              <w:t>Entitlements cap</w:t>
            </w:r>
          </w:p>
        </w:tc>
        <w:tc>
          <w:tcPr>
            <w:tcW w:w="1895" w:type="dxa"/>
            <w:tcBorders>
              <w:top w:val="nil"/>
              <w:left w:val="dotted" w:sz="4" w:space="0" w:color="auto"/>
              <w:bottom w:val="single" w:sz="4" w:space="0" w:color="auto"/>
            </w:tcBorders>
            <w:noWrap/>
            <w:vAlign w:val="bottom"/>
            <w:hideMark/>
          </w:tcPr>
          <w:p w14:paraId="3DD23769" w14:textId="77777777" w:rsidR="00661DE4" w:rsidRPr="003B68AD" w:rsidRDefault="00661DE4" w:rsidP="00661DE4">
            <w:pPr>
              <w:pStyle w:val="NoSpacing"/>
              <w:rPr>
                <w:i/>
                <w:sz w:val="16"/>
                <w:szCs w:val="16"/>
                <w:lang w:val="en-AU"/>
              </w:rPr>
            </w:pPr>
            <w:r w:rsidRPr="003B68AD">
              <w:rPr>
                <w:i/>
                <w:sz w:val="16"/>
                <w:szCs w:val="16"/>
                <w:lang w:val="en-AU"/>
              </w:rPr>
              <w:t>Suburbs covered</w:t>
            </w:r>
          </w:p>
        </w:tc>
        <w:tc>
          <w:tcPr>
            <w:tcW w:w="1035" w:type="dxa"/>
            <w:tcBorders>
              <w:top w:val="nil"/>
              <w:bottom w:val="single" w:sz="4" w:space="0" w:color="auto"/>
            </w:tcBorders>
            <w:noWrap/>
            <w:vAlign w:val="bottom"/>
            <w:hideMark/>
          </w:tcPr>
          <w:p w14:paraId="44A49375" w14:textId="77777777" w:rsidR="00661DE4" w:rsidRPr="003B68AD" w:rsidRDefault="00661DE4" w:rsidP="00661DE4">
            <w:pPr>
              <w:pStyle w:val="NoSpacing"/>
              <w:rPr>
                <w:i/>
                <w:sz w:val="16"/>
                <w:szCs w:val="16"/>
                <w:lang w:val="en-AU"/>
              </w:rPr>
            </w:pPr>
            <w:r w:rsidRPr="003B68AD">
              <w:rPr>
                <w:i/>
                <w:sz w:val="16"/>
                <w:szCs w:val="16"/>
                <w:lang w:val="en-AU"/>
              </w:rPr>
              <w:t>Entitlements cap</w:t>
            </w:r>
          </w:p>
        </w:tc>
      </w:tr>
      <w:tr w:rsidR="00661DE4" w:rsidRPr="0000555D" w14:paraId="10B6048E" w14:textId="77777777" w:rsidTr="00661DE4">
        <w:trPr>
          <w:trHeight w:val="300"/>
        </w:trPr>
        <w:tc>
          <w:tcPr>
            <w:tcW w:w="860" w:type="dxa"/>
            <w:tcBorders>
              <w:top w:val="single" w:sz="4" w:space="0" w:color="auto"/>
              <w:bottom w:val="dotted" w:sz="4" w:space="0" w:color="auto"/>
              <w:right w:val="single" w:sz="4" w:space="0" w:color="auto"/>
            </w:tcBorders>
            <w:noWrap/>
            <w:hideMark/>
          </w:tcPr>
          <w:p w14:paraId="092C1521" w14:textId="77777777" w:rsidR="00661DE4" w:rsidRPr="0000555D" w:rsidRDefault="00661DE4" w:rsidP="00661DE4">
            <w:pPr>
              <w:pStyle w:val="NoSpacing"/>
              <w:rPr>
                <w:sz w:val="16"/>
                <w:szCs w:val="16"/>
                <w:lang w:val="en-AU"/>
              </w:rPr>
            </w:pPr>
            <w:r w:rsidRPr="0000555D">
              <w:rPr>
                <w:sz w:val="16"/>
                <w:szCs w:val="16"/>
                <w:lang w:val="en-AU"/>
              </w:rPr>
              <w:t>Regional district</w:t>
            </w:r>
          </w:p>
        </w:tc>
        <w:tc>
          <w:tcPr>
            <w:tcW w:w="1550" w:type="dxa"/>
            <w:tcBorders>
              <w:top w:val="single" w:sz="4" w:space="0" w:color="auto"/>
              <w:left w:val="single" w:sz="4" w:space="0" w:color="auto"/>
              <w:bottom w:val="dotted" w:sz="4" w:space="0" w:color="auto"/>
              <w:right w:val="dotted" w:sz="4" w:space="0" w:color="auto"/>
            </w:tcBorders>
          </w:tcPr>
          <w:p w14:paraId="7B33475C" w14:textId="77777777" w:rsidR="00661DE4" w:rsidRPr="0000555D" w:rsidRDefault="00661DE4" w:rsidP="00661DE4">
            <w:pPr>
              <w:pStyle w:val="NoSpacing"/>
              <w:rPr>
                <w:sz w:val="16"/>
                <w:szCs w:val="16"/>
                <w:lang w:val="en-AU"/>
              </w:rPr>
            </w:pPr>
            <w:r w:rsidRPr="0000555D">
              <w:rPr>
                <w:sz w:val="16"/>
                <w:szCs w:val="16"/>
                <w:lang w:val="en-AU"/>
              </w:rPr>
              <w:t>Determined by the Minister, but generally applies to established areas</w:t>
            </w:r>
            <w:r>
              <w:rPr>
                <w:sz w:val="16"/>
                <w:szCs w:val="16"/>
                <w:lang w:val="en-AU"/>
              </w:rPr>
              <w:t>.</w:t>
            </w:r>
          </w:p>
        </w:tc>
        <w:tc>
          <w:tcPr>
            <w:tcW w:w="992" w:type="dxa"/>
            <w:tcBorders>
              <w:top w:val="single" w:sz="4" w:space="0" w:color="auto"/>
              <w:left w:val="dotted" w:sz="4" w:space="0" w:color="auto"/>
              <w:bottom w:val="dotted" w:sz="4" w:space="0" w:color="auto"/>
              <w:right w:val="dotted" w:sz="4" w:space="0" w:color="auto"/>
            </w:tcBorders>
            <w:noWrap/>
            <w:hideMark/>
          </w:tcPr>
          <w:p w14:paraId="79459359" w14:textId="77777777" w:rsidR="00661DE4" w:rsidRPr="0000555D" w:rsidRDefault="00661DE4" w:rsidP="00661DE4">
            <w:pPr>
              <w:pStyle w:val="NoSpacing"/>
              <w:rPr>
                <w:sz w:val="16"/>
                <w:szCs w:val="16"/>
                <w:lang w:val="en-AU"/>
              </w:rPr>
            </w:pPr>
            <w:r w:rsidRPr="0000555D">
              <w:rPr>
                <w:sz w:val="16"/>
                <w:szCs w:val="16"/>
                <w:lang w:val="en-AU"/>
              </w:rPr>
              <w:t>2001</w:t>
            </w:r>
          </w:p>
        </w:tc>
        <w:tc>
          <w:tcPr>
            <w:tcW w:w="1418" w:type="dxa"/>
            <w:tcBorders>
              <w:top w:val="single" w:sz="4" w:space="0" w:color="auto"/>
              <w:left w:val="dotted" w:sz="4" w:space="0" w:color="auto"/>
              <w:bottom w:val="dotted" w:sz="4" w:space="0" w:color="auto"/>
            </w:tcBorders>
            <w:noWrap/>
            <w:hideMark/>
          </w:tcPr>
          <w:p w14:paraId="7D32B224" w14:textId="77777777" w:rsidR="00661DE4" w:rsidRPr="0000555D" w:rsidRDefault="00661DE4" w:rsidP="00661DE4">
            <w:pPr>
              <w:pStyle w:val="NoSpacing"/>
              <w:rPr>
                <w:sz w:val="16"/>
                <w:szCs w:val="16"/>
                <w:lang w:val="en-AU"/>
              </w:rPr>
            </w:pPr>
            <w:r w:rsidRPr="0000555D">
              <w:rPr>
                <w:sz w:val="16"/>
                <w:szCs w:val="16"/>
                <w:lang w:val="en-AU"/>
              </w:rPr>
              <w:t>-</w:t>
            </w:r>
          </w:p>
        </w:tc>
        <w:tc>
          <w:tcPr>
            <w:tcW w:w="1276" w:type="dxa"/>
            <w:tcBorders>
              <w:top w:val="single" w:sz="4" w:space="0" w:color="auto"/>
              <w:bottom w:val="dotted" w:sz="4" w:space="0" w:color="auto"/>
              <w:right w:val="dotted" w:sz="4" w:space="0" w:color="auto"/>
            </w:tcBorders>
            <w:noWrap/>
            <w:hideMark/>
          </w:tcPr>
          <w:p w14:paraId="1CE9162D" w14:textId="77777777" w:rsidR="00661DE4" w:rsidRPr="0000555D" w:rsidRDefault="00661DE4" w:rsidP="00661DE4">
            <w:pPr>
              <w:pStyle w:val="NoSpacing"/>
              <w:rPr>
                <w:sz w:val="16"/>
                <w:szCs w:val="16"/>
                <w:lang w:val="en-AU"/>
              </w:rPr>
            </w:pPr>
            <w:r w:rsidRPr="0000555D">
              <w:rPr>
                <w:sz w:val="16"/>
                <w:szCs w:val="16"/>
                <w:lang w:val="en-AU"/>
              </w:rPr>
              <w:t>-</w:t>
            </w:r>
          </w:p>
        </w:tc>
        <w:tc>
          <w:tcPr>
            <w:tcW w:w="1895" w:type="dxa"/>
            <w:tcBorders>
              <w:top w:val="single" w:sz="4" w:space="0" w:color="auto"/>
              <w:left w:val="dotted" w:sz="4" w:space="0" w:color="auto"/>
              <w:bottom w:val="dotted" w:sz="4" w:space="0" w:color="auto"/>
            </w:tcBorders>
            <w:noWrap/>
            <w:hideMark/>
          </w:tcPr>
          <w:p w14:paraId="35048302" w14:textId="77777777" w:rsidR="00661DE4" w:rsidRPr="0000555D" w:rsidRDefault="00661DE4" w:rsidP="00661DE4">
            <w:pPr>
              <w:pStyle w:val="NoSpacing"/>
              <w:rPr>
                <w:sz w:val="16"/>
                <w:szCs w:val="16"/>
                <w:lang w:val="en-AU"/>
              </w:rPr>
            </w:pPr>
            <w:r w:rsidRPr="0000555D">
              <w:rPr>
                <w:sz w:val="16"/>
                <w:szCs w:val="16"/>
                <w:lang w:val="en-AU"/>
              </w:rPr>
              <w:t>Hoppers Crossing, Laverton, Laverton North, Manor Lakes, Wyndham Vale, Werribee and Williams Landing</w:t>
            </w:r>
          </w:p>
        </w:tc>
        <w:tc>
          <w:tcPr>
            <w:tcW w:w="1035" w:type="dxa"/>
            <w:tcBorders>
              <w:top w:val="single" w:sz="4" w:space="0" w:color="auto"/>
              <w:bottom w:val="dotted" w:sz="4" w:space="0" w:color="auto"/>
            </w:tcBorders>
            <w:noWrap/>
            <w:hideMark/>
          </w:tcPr>
          <w:p w14:paraId="0922A238" w14:textId="77777777" w:rsidR="00661DE4" w:rsidRPr="0000555D" w:rsidRDefault="00661DE4" w:rsidP="00661DE4">
            <w:pPr>
              <w:pStyle w:val="NoSpacing"/>
              <w:rPr>
                <w:sz w:val="16"/>
                <w:szCs w:val="16"/>
                <w:lang w:val="en-AU"/>
              </w:rPr>
            </w:pPr>
            <w:r w:rsidRPr="0000555D">
              <w:rPr>
                <w:sz w:val="16"/>
                <w:szCs w:val="16"/>
                <w:lang w:val="en-AU"/>
              </w:rPr>
              <w:t>638</w:t>
            </w:r>
          </w:p>
        </w:tc>
      </w:tr>
      <w:tr w:rsidR="00661DE4" w:rsidRPr="0000555D" w14:paraId="4C7D21B0" w14:textId="77777777" w:rsidTr="00661DE4">
        <w:trPr>
          <w:trHeight w:val="300"/>
        </w:trPr>
        <w:tc>
          <w:tcPr>
            <w:tcW w:w="860" w:type="dxa"/>
            <w:tcBorders>
              <w:top w:val="dotted" w:sz="4" w:space="0" w:color="auto"/>
              <w:right w:val="single" w:sz="4" w:space="0" w:color="auto"/>
            </w:tcBorders>
            <w:noWrap/>
            <w:hideMark/>
          </w:tcPr>
          <w:p w14:paraId="31D976A1" w14:textId="77777777" w:rsidR="00661DE4" w:rsidRPr="0000555D" w:rsidRDefault="00661DE4" w:rsidP="00661DE4">
            <w:pPr>
              <w:pStyle w:val="NoSpacing"/>
              <w:rPr>
                <w:sz w:val="16"/>
                <w:szCs w:val="16"/>
                <w:lang w:val="en-AU"/>
              </w:rPr>
            </w:pPr>
            <w:r w:rsidRPr="0000555D">
              <w:rPr>
                <w:sz w:val="16"/>
                <w:szCs w:val="16"/>
                <w:lang w:val="en-AU"/>
              </w:rPr>
              <w:t>Municipal district</w:t>
            </w:r>
          </w:p>
        </w:tc>
        <w:tc>
          <w:tcPr>
            <w:tcW w:w="1550" w:type="dxa"/>
            <w:tcBorders>
              <w:top w:val="dotted" w:sz="4" w:space="0" w:color="auto"/>
              <w:left w:val="single" w:sz="4" w:space="0" w:color="auto"/>
              <w:bottom w:val="single" w:sz="4" w:space="0" w:color="auto"/>
              <w:right w:val="dotted" w:sz="4" w:space="0" w:color="auto"/>
            </w:tcBorders>
          </w:tcPr>
          <w:p w14:paraId="7EA8DD6B" w14:textId="77777777" w:rsidR="00661DE4" w:rsidRPr="0000555D" w:rsidRDefault="00661DE4" w:rsidP="00661DE4">
            <w:pPr>
              <w:pStyle w:val="NoSpacing"/>
              <w:rPr>
                <w:sz w:val="16"/>
                <w:szCs w:val="16"/>
                <w:lang w:val="en-AU"/>
              </w:rPr>
            </w:pPr>
            <w:r w:rsidRPr="0000555D">
              <w:rPr>
                <w:sz w:val="16"/>
                <w:szCs w:val="16"/>
                <w:lang w:val="en-AU"/>
              </w:rPr>
              <w:t>The areas in an LGA that are not covered in the regional district</w:t>
            </w:r>
          </w:p>
        </w:tc>
        <w:tc>
          <w:tcPr>
            <w:tcW w:w="992" w:type="dxa"/>
            <w:tcBorders>
              <w:top w:val="dotted" w:sz="4" w:space="0" w:color="auto"/>
              <w:left w:val="dotted" w:sz="4" w:space="0" w:color="auto"/>
              <w:bottom w:val="single" w:sz="4" w:space="0" w:color="auto"/>
              <w:right w:val="dotted" w:sz="4" w:space="0" w:color="auto"/>
            </w:tcBorders>
            <w:noWrap/>
            <w:hideMark/>
          </w:tcPr>
          <w:p w14:paraId="2F435765" w14:textId="77777777" w:rsidR="00661DE4" w:rsidRPr="0000555D" w:rsidRDefault="00661DE4" w:rsidP="00661DE4">
            <w:pPr>
              <w:pStyle w:val="NoSpacing"/>
              <w:rPr>
                <w:sz w:val="16"/>
                <w:szCs w:val="16"/>
                <w:lang w:val="en-AU"/>
              </w:rPr>
            </w:pPr>
            <w:r w:rsidRPr="0000555D">
              <w:rPr>
                <w:sz w:val="16"/>
                <w:szCs w:val="16"/>
                <w:lang w:val="en-AU"/>
              </w:rPr>
              <w:t>2009</w:t>
            </w:r>
          </w:p>
        </w:tc>
        <w:tc>
          <w:tcPr>
            <w:tcW w:w="1418" w:type="dxa"/>
            <w:tcBorders>
              <w:top w:val="dotted" w:sz="4" w:space="0" w:color="auto"/>
              <w:left w:val="dotted" w:sz="4" w:space="0" w:color="auto"/>
              <w:bottom w:val="single" w:sz="4" w:space="0" w:color="auto"/>
            </w:tcBorders>
            <w:noWrap/>
            <w:hideMark/>
          </w:tcPr>
          <w:p w14:paraId="457C8B8B" w14:textId="77777777" w:rsidR="00661DE4" w:rsidRPr="0000555D" w:rsidRDefault="00661DE4" w:rsidP="00661DE4">
            <w:pPr>
              <w:pStyle w:val="NoSpacing"/>
              <w:rPr>
                <w:sz w:val="16"/>
                <w:szCs w:val="16"/>
                <w:lang w:val="en-AU"/>
              </w:rPr>
            </w:pPr>
            <w:r w:rsidRPr="0000555D">
              <w:rPr>
                <w:sz w:val="16"/>
                <w:szCs w:val="16"/>
                <w:lang w:val="en-AU"/>
              </w:rPr>
              <w:t>All suburbs</w:t>
            </w:r>
          </w:p>
        </w:tc>
        <w:tc>
          <w:tcPr>
            <w:tcW w:w="1276" w:type="dxa"/>
            <w:tcBorders>
              <w:top w:val="dotted" w:sz="4" w:space="0" w:color="auto"/>
              <w:bottom w:val="single" w:sz="4" w:space="0" w:color="auto"/>
              <w:right w:val="dotted" w:sz="4" w:space="0" w:color="auto"/>
            </w:tcBorders>
            <w:noWrap/>
            <w:hideMark/>
          </w:tcPr>
          <w:p w14:paraId="560222C5" w14:textId="77777777" w:rsidR="00661DE4" w:rsidRPr="0000555D" w:rsidRDefault="00661DE4" w:rsidP="00661DE4">
            <w:pPr>
              <w:pStyle w:val="NoSpacing"/>
              <w:rPr>
                <w:sz w:val="16"/>
                <w:szCs w:val="16"/>
                <w:lang w:val="en-AU"/>
              </w:rPr>
            </w:pPr>
            <w:r w:rsidRPr="0000555D">
              <w:rPr>
                <w:sz w:val="16"/>
                <w:szCs w:val="16"/>
                <w:lang w:val="en-AU"/>
              </w:rPr>
              <w:t>952</w:t>
            </w:r>
          </w:p>
        </w:tc>
        <w:tc>
          <w:tcPr>
            <w:tcW w:w="1895" w:type="dxa"/>
            <w:tcBorders>
              <w:top w:val="dotted" w:sz="4" w:space="0" w:color="auto"/>
              <w:left w:val="dotted" w:sz="4" w:space="0" w:color="auto"/>
              <w:bottom w:val="single" w:sz="4" w:space="0" w:color="auto"/>
            </w:tcBorders>
            <w:noWrap/>
            <w:hideMark/>
          </w:tcPr>
          <w:p w14:paraId="2AFCC027" w14:textId="77777777" w:rsidR="00661DE4" w:rsidRPr="0000555D" w:rsidRDefault="00661DE4" w:rsidP="00661DE4">
            <w:pPr>
              <w:pStyle w:val="NoSpacing"/>
              <w:rPr>
                <w:sz w:val="16"/>
                <w:szCs w:val="16"/>
                <w:lang w:val="en-AU"/>
              </w:rPr>
            </w:pPr>
            <w:r w:rsidRPr="0000555D">
              <w:rPr>
                <w:sz w:val="16"/>
                <w:szCs w:val="16"/>
                <w:lang w:val="en-AU"/>
              </w:rPr>
              <w:t>Point Cook, Tarneit, Little River, Truganina</w:t>
            </w:r>
          </w:p>
        </w:tc>
        <w:tc>
          <w:tcPr>
            <w:tcW w:w="1035" w:type="dxa"/>
            <w:tcBorders>
              <w:top w:val="dotted" w:sz="4" w:space="0" w:color="auto"/>
            </w:tcBorders>
            <w:noWrap/>
            <w:hideMark/>
          </w:tcPr>
          <w:p w14:paraId="3D6450D0" w14:textId="77777777" w:rsidR="00661DE4" w:rsidRPr="0000555D" w:rsidRDefault="00661DE4" w:rsidP="00661DE4">
            <w:pPr>
              <w:pStyle w:val="NoSpacing"/>
              <w:rPr>
                <w:sz w:val="16"/>
                <w:szCs w:val="16"/>
                <w:lang w:val="en-AU"/>
              </w:rPr>
            </w:pPr>
            <w:r w:rsidRPr="0000555D">
              <w:rPr>
                <w:sz w:val="16"/>
                <w:szCs w:val="16"/>
                <w:lang w:val="en-AU"/>
              </w:rPr>
              <w:t>552</w:t>
            </w:r>
          </w:p>
        </w:tc>
      </w:tr>
    </w:tbl>
    <w:p w14:paraId="77824CE1" w14:textId="77777777" w:rsidR="00661DE4" w:rsidRDefault="00661DE4" w:rsidP="00661DE4">
      <w:pPr>
        <w:spacing w:after="120"/>
      </w:pPr>
      <w:r>
        <w:t>Following the changes in November 2017 the maximum total number of entitlements in Wyndham is 1,190, a 25 per cent increase from the previously allowed 952 entitlements. A 25% increase is the maximum that VCGLR allows for. There are several ways by which the number of entitlements in Wyndham may increase:</w:t>
      </w:r>
    </w:p>
    <w:p w14:paraId="5CCC3BD0" w14:textId="77777777" w:rsidR="00661DE4" w:rsidRDefault="00661DE4" w:rsidP="00661DE4">
      <w:pPr>
        <w:pStyle w:val="ListParagraph"/>
        <w:numPr>
          <w:ilvl w:val="0"/>
          <w:numId w:val="11"/>
        </w:numPr>
        <w:spacing w:after="120" w:line="276" w:lineRule="auto"/>
      </w:pPr>
      <w:r>
        <w:t>The entitlement limit across Wyndham is currently 1,190. Currently 893 entitlements are held by Wyndham venues, allowing for a potential increase of 297 entitlements:</w:t>
      </w:r>
    </w:p>
    <w:p w14:paraId="221F7FF1" w14:textId="77777777" w:rsidR="00661DE4" w:rsidRDefault="00661DE4" w:rsidP="00661DE4">
      <w:pPr>
        <w:pStyle w:val="ListParagraph"/>
        <w:numPr>
          <w:ilvl w:val="1"/>
          <w:numId w:val="11"/>
        </w:numPr>
        <w:spacing w:after="120" w:line="276" w:lineRule="auto"/>
      </w:pPr>
      <w:r>
        <w:t xml:space="preserve">In the regional district the number of entitlements held by venues is 628. This is 10 below the limit of 638. </w:t>
      </w:r>
    </w:p>
    <w:p w14:paraId="2D7C112D" w14:textId="77777777" w:rsidR="00661DE4" w:rsidRDefault="00661DE4" w:rsidP="00661DE4">
      <w:pPr>
        <w:pStyle w:val="ListParagraph"/>
        <w:numPr>
          <w:ilvl w:val="1"/>
          <w:numId w:val="11"/>
        </w:numPr>
        <w:spacing w:after="120" w:line="276" w:lineRule="auto"/>
      </w:pPr>
      <w:r>
        <w:t>The four venues in the municipal district hold 265 entitlements. This is 287 under the municipal district limit.</w:t>
      </w:r>
    </w:p>
    <w:p w14:paraId="0BABAFE9" w14:textId="77777777" w:rsidR="00661DE4" w:rsidRDefault="00661DE4" w:rsidP="00661DE4">
      <w:pPr>
        <w:pStyle w:val="ListParagraph"/>
        <w:numPr>
          <w:ilvl w:val="0"/>
          <w:numId w:val="11"/>
        </w:numPr>
        <w:spacing w:after="120" w:line="276" w:lineRule="auto"/>
      </w:pPr>
      <w:r>
        <w:lastRenderedPageBreak/>
        <w:t>It is possible that the number of entitlements increases due to population increase. Based on the current adult population the number of entitlements in the municipal district could rise from 552 entitlements to 730 entitlements.</w:t>
      </w:r>
    </w:p>
    <w:p w14:paraId="548838D6" w14:textId="77777777" w:rsidR="00661DE4" w:rsidRPr="008F6750" w:rsidRDefault="00661DE4" w:rsidP="00661DE4">
      <w:pPr>
        <w:spacing w:after="120"/>
      </w:pPr>
      <w:r>
        <w:t>The above information is summarised in the table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
        <w:gridCol w:w="3284"/>
        <w:gridCol w:w="992"/>
        <w:gridCol w:w="1020"/>
        <w:gridCol w:w="688"/>
      </w:tblGrid>
      <w:tr w:rsidR="00661DE4" w:rsidRPr="00BD2809" w14:paraId="537D542E" w14:textId="77777777" w:rsidTr="00661DE4">
        <w:tc>
          <w:tcPr>
            <w:tcW w:w="962" w:type="dxa"/>
            <w:tcBorders>
              <w:top w:val="single" w:sz="4" w:space="0" w:color="auto"/>
              <w:bottom w:val="single" w:sz="4" w:space="0" w:color="auto"/>
            </w:tcBorders>
          </w:tcPr>
          <w:p w14:paraId="08F9569E" w14:textId="77777777" w:rsidR="00661DE4" w:rsidRPr="00BD2809" w:rsidRDefault="00661DE4" w:rsidP="00661DE4">
            <w:pPr>
              <w:rPr>
                <w:b/>
                <w:sz w:val="16"/>
              </w:rPr>
            </w:pPr>
          </w:p>
        </w:tc>
        <w:tc>
          <w:tcPr>
            <w:tcW w:w="3284" w:type="dxa"/>
            <w:tcBorders>
              <w:top w:val="single" w:sz="4" w:space="0" w:color="auto"/>
              <w:bottom w:val="single" w:sz="4" w:space="0" w:color="auto"/>
            </w:tcBorders>
            <w:noWrap/>
            <w:hideMark/>
          </w:tcPr>
          <w:p w14:paraId="607C9BF3" w14:textId="77777777" w:rsidR="00661DE4" w:rsidRPr="00BD2809" w:rsidRDefault="00661DE4" w:rsidP="00661DE4">
            <w:pPr>
              <w:rPr>
                <w:b/>
                <w:sz w:val="16"/>
              </w:rPr>
            </w:pPr>
          </w:p>
        </w:tc>
        <w:tc>
          <w:tcPr>
            <w:tcW w:w="992" w:type="dxa"/>
            <w:tcBorders>
              <w:top w:val="single" w:sz="4" w:space="0" w:color="auto"/>
              <w:bottom w:val="single" w:sz="4" w:space="0" w:color="auto"/>
            </w:tcBorders>
            <w:noWrap/>
            <w:hideMark/>
          </w:tcPr>
          <w:p w14:paraId="2777AE18" w14:textId="77777777" w:rsidR="00661DE4" w:rsidRPr="00BD2809" w:rsidRDefault="00661DE4" w:rsidP="00661DE4">
            <w:pPr>
              <w:rPr>
                <w:b/>
                <w:sz w:val="16"/>
              </w:rPr>
            </w:pPr>
            <w:r w:rsidRPr="00BD2809">
              <w:rPr>
                <w:b/>
                <w:sz w:val="16"/>
              </w:rPr>
              <w:t>Regional district</w:t>
            </w:r>
          </w:p>
        </w:tc>
        <w:tc>
          <w:tcPr>
            <w:tcW w:w="1020" w:type="dxa"/>
            <w:tcBorders>
              <w:top w:val="single" w:sz="4" w:space="0" w:color="auto"/>
              <w:bottom w:val="single" w:sz="4" w:space="0" w:color="auto"/>
            </w:tcBorders>
            <w:noWrap/>
            <w:hideMark/>
          </w:tcPr>
          <w:p w14:paraId="355E8904" w14:textId="77777777" w:rsidR="00661DE4" w:rsidRPr="00BD2809" w:rsidRDefault="00661DE4" w:rsidP="00661DE4">
            <w:pPr>
              <w:rPr>
                <w:b/>
                <w:sz w:val="16"/>
              </w:rPr>
            </w:pPr>
            <w:r w:rsidRPr="00BD2809">
              <w:rPr>
                <w:b/>
                <w:sz w:val="16"/>
              </w:rPr>
              <w:t>Municipal district</w:t>
            </w:r>
          </w:p>
        </w:tc>
        <w:tc>
          <w:tcPr>
            <w:tcW w:w="688" w:type="dxa"/>
            <w:tcBorders>
              <w:top w:val="single" w:sz="4" w:space="0" w:color="auto"/>
              <w:bottom w:val="single" w:sz="4" w:space="0" w:color="auto"/>
            </w:tcBorders>
          </w:tcPr>
          <w:p w14:paraId="06BB1E12" w14:textId="77777777" w:rsidR="00661DE4" w:rsidRPr="00BD2809" w:rsidRDefault="00661DE4" w:rsidP="00661DE4">
            <w:pPr>
              <w:rPr>
                <w:b/>
                <w:sz w:val="16"/>
              </w:rPr>
            </w:pPr>
            <w:r w:rsidRPr="00BD2809">
              <w:rPr>
                <w:b/>
                <w:sz w:val="16"/>
              </w:rPr>
              <w:t>Total</w:t>
            </w:r>
          </w:p>
        </w:tc>
      </w:tr>
      <w:tr w:rsidR="00661DE4" w:rsidRPr="00BD2809" w14:paraId="2E70C183" w14:textId="77777777" w:rsidTr="00661DE4">
        <w:tc>
          <w:tcPr>
            <w:tcW w:w="4246" w:type="dxa"/>
            <w:gridSpan w:val="2"/>
            <w:tcBorders>
              <w:top w:val="single" w:sz="4" w:space="0" w:color="auto"/>
            </w:tcBorders>
          </w:tcPr>
          <w:p w14:paraId="0A135908" w14:textId="77777777" w:rsidR="00661DE4" w:rsidRPr="00BD2809" w:rsidRDefault="00661DE4" w:rsidP="00661DE4">
            <w:pPr>
              <w:rPr>
                <w:sz w:val="16"/>
              </w:rPr>
            </w:pPr>
            <w:r w:rsidRPr="00BD2809">
              <w:rPr>
                <w:sz w:val="16"/>
              </w:rPr>
              <w:t>Current entitlement levels</w:t>
            </w:r>
          </w:p>
        </w:tc>
        <w:tc>
          <w:tcPr>
            <w:tcW w:w="992" w:type="dxa"/>
            <w:tcBorders>
              <w:top w:val="single" w:sz="4" w:space="0" w:color="auto"/>
            </w:tcBorders>
            <w:noWrap/>
          </w:tcPr>
          <w:p w14:paraId="234B4619" w14:textId="77777777" w:rsidR="00661DE4" w:rsidRPr="00BD2809" w:rsidRDefault="00661DE4" w:rsidP="00661DE4">
            <w:pPr>
              <w:rPr>
                <w:sz w:val="16"/>
              </w:rPr>
            </w:pPr>
          </w:p>
        </w:tc>
        <w:tc>
          <w:tcPr>
            <w:tcW w:w="1020" w:type="dxa"/>
            <w:tcBorders>
              <w:top w:val="single" w:sz="4" w:space="0" w:color="auto"/>
            </w:tcBorders>
            <w:noWrap/>
          </w:tcPr>
          <w:p w14:paraId="19CCFDC8" w14:textId="77777777" w:rsidR="00661DE4" w:rsidRPr="00BD2809" w:rsidRDefault="00661DE4" w:rsidP="00661DE4">
            <w:pPr>
              <w:rPr>
                <w:sz w:val="16"/>
              </w:rPr>
            </w:pPr>
          </w:p>
        </w:tc>
        <w:tc>
          <w:tcPr>
            <w:tcW w:w="688" w:type="dxa"/>
            <w:tcBorders>
              <w:top w:val="single" w:sz="4" w:space="0" w:color="auto"/>
            </w:tcBorders>
          </w:tcPr>
          <w:p w14:paraId="6830AD2F" w14:textId="77777777" w:rsidR="00661DE4" w:rsidRPr="00BD2809" w:rsidRDefault="00661DE4" w:rsidP="00661DE4">
            <w:pPr>
              <w:rPr>
                <w:sz w:val="16"/>
              </w:rPr>
            </w:pPr>
          </w:p>
        </w:tc>
      </w:tr>
      <w:tr w:rsidR="00661DE4" w:rsidRPr="00BD2809" w14:paraId="059C9B63" w14:textId="77777777" w:rsidTr="00661DE4">
        <w:tc>
          <w:tcPr>
            <w:tcW w:w="962" w:type="dxa"/>
          </w:tcPr>
          <w:p w14:paraId="36BC8579" w14:textId="77777777" w:rsidR="00661DE4" w:rsidRPr="00BD2809" w:rsidRDefault="00661DE4" w:rsidP="00661DE4">
            <w:pPr>
              <w:rPr>
                <w:sz w:val="16"/>
              </w:rPr>
            </w:pPr>
          </w:p>
        </w:tc>
        <w:tc>
          <w:tcPr>
            <w:tcW w:w="3284" w:type="dxa"/>
            <w:noWrap/>
          </w:tcPr>
          <w:p w14:paraId="79594659" w14:textId="77777777" w:rsidR="00661DE4" w:rsidRPr="00BD2809" w:rsidRDefault="00661DE4" w:rsidP="00661DE4">
            <w:pPr>
              <w:rPr>
                <w:sz w:val="16"/>
              </w:rPr>
            </w:pPr>
            <w:r w:rsidRPr="00BD2809">
              <w:rPr>
                <w:sz w:val="16"/>
              </w:rPr>
              <w:t>Held by venues</w:t>
            </w:r>
          </w:p>
        </w:tc>
        <w:tc>
          <w:tcPr>
            <w:tcW w:w="992" w:type="dxa"/>
            <w:noWrap/>
          </w:tcPr>
          <w:p w14:paraId="70ECCAE7" w14:textId="77777777" w:rsidR="00661DE4" w:rsidRPr="00BD2809" w:rsidRDefault="00661DE4" w:rsidP="00661DE4">
            <w:pPr>
              <w:rPr>
                <w:sz w:val="16"/>
              </w:rPr>
            </w:pPr>
            <w:r w:rsidRPr="00BD2809">
              <w:rPr>
                <w:sz w:val="16"/>
              </w:rPr>
              <w:t>628</w:t>
            </w:r>
          </w:p>
        </w:tc>
        <w:tc>
          <w:tcPr>
            <w:tcW w:w="1020" w:type="dxa"/>
            <w:noWrap/>
          </w:tcPr>
          <w:p w14:paraId="4730E273" w14:textId="77777777" w:rsidR="00661DE4" w:rsidRPr="00BD2809" w:rsidRDefault="00661DE4" w:rsidP="00661DE4">
            <w:pPr>
              <w:rPr>
                <w:sz w:val="16"/>
              </w:rPr>
            </w:pPr>
            <w:r w:rsidRPr="00BD2809">
              <w:rPr>
                <w:sz w:val="16"/>
              </w:rPr>
              <w:t>265</w:t>
            </w:r>
          </w:p>
        </w:tc>
        <w:tc>
          <w:tcPr>
            <w:tcW w:w="688" w:type="dxa"/>
          </w:tcPr>
          <w:p w14:paraId="396C2A39" w14:textId="77777777" w:rsidR="00661DE4" w:rsidRPr="00BD2809" w:rsidRDefault="00661DE4" w:rsidP="00661DE4">
            <w:pPr>
              <w:rPr>
                <w:sz w:val="16"/>
              </w:rPr>
            </w:pPr>
            <w:r w:rsidRPr="00BD2809">
              <w:rPr>
                <w:sz w:val="16"/>
              </w:rPr>
              <w:t>893</w:t>
            </w:r>
          </w:p>
        </w:tc>
      </w:tr>
      <w:tr w:rsidR="00661DE4" w:rsidRPr="00BD2809" w14:paraId="731934E7" w14:textId="77777777" w:rsidTr="00661DE4">
        <w:tc>
          <w:tcPr>
            <w:tcW w:w="962" w:type="dxa"/>
          </w:tcPr>
          <w:p w14:paraId="6401CDCD" w14:textId="77777777" w:rsidR="00661DE4" w:rsidRPr="00BD2809" w:rsidRDefault="00661DE4" w:rsidP="00661DE4">
            <w:pPr>
              <w:rPr>
                <w:sz w:val="16"/>
              </w:rPr>
            </w:pPr>
          </w:p>
        </w:tc>
        <w:tc>
          <w:tcPr>
            <w:tcW w:w="3284" w:type="dxa"/>
            <w:noWrap/>
          </w:tcPr>
          <w:p w14:paraId="34410B17" w14:textId="77777777" w:rsidR="00661DE4" w:rsidRPr="00BD2809" w:rsidRDefault="00661DE4" w:rsidP="00661DE4">
            <w:pPr>
              <w:rPr>
                <w:sz w:val="16"/>
              </w:rPr>
            </w:pPr>
            <w:r w:rsidRPr="00BD2809">
              <w:rPr>
                <w:sz w:val="16"/>
              </w:rPr>
              <w:t>Cap</w:t>
            </w:r>
          </w:p>
        </w:tc>
        <w:tc>
          <w:tcPr>
            <w:tcW w:w="992" w:type="dxa"/>
            <w:noWrap/>
          </w:tcPr>
          <w:p w14:paraId="3E532E1F" w14:textId="77777777" w:rsidR="00661DE4" w:rsidRPr="00BD2809" w:rsidRDefault="00661DE4" w:rsidP="00661DE4">
            <w:pPr>
              <w:rPr>
                <w:sz w:val="16"/>
              </w:rPr>
            </w:pPr>
            <w:r w:rsidRPr="00BD2809">
              <w:rPr>
                <w:sz w:val="16"/>
              </w:rPr>
              <w:t>638</w:t>
            </w:r>
          </w:p>
        </w:tc>
        <w:tc>
          <w:tcPr>
            <w:tcW w:w="1020" w:type="dxa"/>
            <w:noWrap/>
          </w:tcPr>
          <w:p w14:paraId="181D4104" w14:textId="77777777" w:rsidR="00661DE4" w:rsidRPr="00BD2809" w:rsidRDefault="00661DE4" w:rsidP="00661DE4">
            <w:pPr>
              <w:rPr>
                <w:sz w:val="16"/>
              </w:rPr>
            </w:pPr>
            <w:r w:rsidRPr="00BD2809">
              <w:rPr>
                <w:sz w:val="16"/>
              </w:rPr>
              <w:t>552</w:t>
            </w:r>
          </w:p>
        </w:tc>
        <w:tc>
          <w:tcPr>
            <w:tcW w:w="688" w:type="dxa"/>
          </w:tcPr>
          <w:p w14:paraId="3554038E" w14:textId="77777777" w:rsidR="00661DE4" w:rsidRPr="00BD2809" w:rsidRDefault="00661DE4" w:rsidP="00661DE4">
            <w:pPr>
              <w:rPr>
                <w:sz w:val="16"/>
              </w:rPr>
            </w:pPr>
            <w:r w:rsidRPr="00BD2809">
              <w:rPr>
                <w:sz w:val="16"/>
              </w:rPr>
              <w:t>1,190</w:t>
            </w:r>
          </w:p>
        </w:tc>
      </w:tr>
      <w:tr w:rsidR="00661DE4" w:rsidRPr="00BD2809" w14:paraId="0194AB01" w14:textId="77777777" w:rsidTr="00661DE4">
        <w:tc>
          <w:tcPr>
            <w:tcW w:w="962" w:type="dxa"/>
          </w:tcPr>
          <w:p w14:paraId="290F6559" w14:textId="77777777" w:rsidR="00661DE4" w:rsidRPr="00BD2809" w:rsidRDefault="00661DE4" w:rsidP="00661DE4">
            <w:pPr>
              <w:rPr>
                <w:sz w:val="16"/>
              </w:rPr>
            </w:pPr>
          </w:p>
        </w:tc>
        <w:tc>
          <w:tcPr>
            <w:tcW w:w="3284" w:type="dxa"/>
            <w:noWrap/>
          </w:tcPr>
          <w:p w14:paraId="4EAFE2AB" w14:textId="77777777" w:rsidR="00661DE4" w:rsidRPr="00BD2809" w:rsidRDefault="00661DE4" w:rsidP="00661DE4">
            <w:pPr>
              <w:rPr>
                <w:sz w:val="16"/>
              </w:rPr>
            </w:pPr>
            <w:r w:rsidRPr="00BD2809">
              <w:rPr>
                <w:sz w:val="16"/>
              </w:rPr>
              <w:t>Potential increase</w:t>
            </w:r>
          </w:p>
        </w:tc>
        <w:tc>
          <w:tcPr>
            <w:tcW w:w="992" w:type="dxa"/>
            <w:noWrap/>
          </w:tcPr>
          <w:p w14:paraId="4C97A412" w14:textId="77777777" w:rsidR="00661DE4" w:rsidRPr="00BD2809" w:rsidRDefault="00661DE4" w:rsidP="00661DE4">
            <w:pPr>
              <w:rPr>
                <w:sz w:val="16"/>
              </w:rPr>
            </w:pPr>
            <w:r w:rsidRPr="00BD2809">
              <w:rPr>
                <w:sz w:val="16"/>
              </w:rPr>
              <w:t>10</w:t>
            </w:r>
          </w:p>
        </w:tc>
        <w:tc>
          <w:tcPr>
            <w:tcW w:w="1020" w:type="dxa"/>
            <w:noWrap/>
          </w:tcPr>
          <w:p w14:paraId="707E1A3B" w14:textId="77777777" w:rsidR="00661DE4" w:rsidRPr="00BD2809" w:rsidRDefault="00661DE4" w:rsidP="00661DE4">
            <w:pPr>
              <w:rPr>
                <w:sz w:val="16"/>
              </w:rPr>
            </w:pPr>
            <w:r w:rsidRPr="00BD2809">
              <w:rPr>
                <w:sz w:val="16"/>
              </w:rPr>
              <w:t>287</w:t>
            </w:r>
          </w:p>
        </w:tc>
        <w:tc>
          <w:tcPr>
            <w:tcW w:w="688" w:type="dxa"/>
          </w:tcPr>
          <w:p w14:paraId="30C14584" w14:textId="77777777" w:rsidR="00661DE4" w:rsidRPr="00BD2809" w:rsidRDefault="00661DE4" w:rsidP="00661DE4">
            <w:pPr>
              <w:rPr>
                <w:sz w:val="16"/>
              </w:rPr>
            </w:pPr>
            <w:r w:rsidRPr="00BD2809">
              <w:rPr>
                <w:sz w:val="16"/>
              </w:rPr>
              <w:t>297</w:t>
            </w:r>
          </w:p>
        </w:tc>
      </w:tr>
      <w:tr w:rsidR="00661DE4" w:rsidRPr="00BD2809" w14:paraId="16D989D0" w14:textId="77777777" w:rsidTr="00661DE4">
        <w:tc>
          <w:tcPr>
            <w:tcW w:w="4246" w:type="dxa"/>
            <w:gridSpan w:val="2"/>
          </w:tcPr>
          <w:p w14:paraId="3F70F4DE" w14:textId="77777777" w:rsidR="00661DE4" w:rsidRPr="00BD2809" w:rsidRDefault="00661DE4" w:rsidP="00661DE4">
            <w:pPr>
              <w:rPr>
                <w:sz w:val="16"/>
              </w:rPr>
            </w:pPr>
            <w:r w:rsidRPr="00BD2809">
              <w:rPr>
                <w:sz w:val="16"/>
              </w:rPr>
              <w:t>Potential adjustment in entitlement levels</w:t>
            </w:r>
          </w:p>
        </w:tc>
        <w:tc>
          <w:tcPr>
            <w:tcW w:w="992" w:type="dxa"/>
            <w:noWrap/>
          </w:tcPr>
          <w:p w14:paraId="6B6EC8A1" w14:textId="77777777" w:rsidR="00661DE4" w:rsidRPr="00BD2809" w:rsidRDefault="00661DE4" w:rsidP="00661DE4">
            <w:pPr>
              <w:rPr>
                <w:sz w:val="16"/>
              </w:rPr>
            </w:pPr>
          </w:p>
        </w:tc>
        <w:tc>
          <w:tcPr>
            <w:tcW w:w="1020" w:type="dxa"/>
            <w:noWrap/>
          </w:tcPr>
          <w:p w14:paraId="1413C7F2" w14:textId="77777777" w:rsidR="00661DE4" w:rsidRPr="00BD2809" w:rsidRDefault="00661DE4" w:rsidP="00661DE4">
            <w:pPr>
              <w:rPr>
                <w:sz w:val="16"/>
              </w:rPr>
            </w:pPr>
          </w:p>
        </w:tc>
        <w:tc>
          <w:tcPr>
            <w:tcW w:w="688" w:type="dxa"/>
          </w:tcPr>
          <w:p w14:paraId="55EA4157" w14:textId="77777777" w:rsidR="00661DE4" w:rsidRPr="00BD2809" w:rsidRDefault="00661DE4" w:rsidP="00661DE4">
            <w:pPr>
              <w:rPr>
                <w:sz w:val="16"/>
              </w:rPr>
            </w:pPr>
          </w:p>
        </w:tc>
      </w:tr>
      <w:tr w:rsidR="00661DE4" w:rsidRPr="00BD2809" w14:paraId="4BC906C3" w14:textId="77777777" w:rsidTr="00661DE4">
        <w:tc>
          <w:tcPr>
            <w:tcW w:w="962" w:type="dxa"/>
          </w:tcPr>
          <w:p w14:paraId="3288B6EC" w14:textId="77777777" w:rsidR="00661DE4" w:rsidRPr="00BD2809" w:rsidRDefault="00661DE4" w:rsidP="00661DE4">
            <w:pPr>
              <w:rPr>
                <w:sz w:val="16"/>
              </w:rPr>
            </w:pPr>
          </w:p>
        </w:tc>
        <w:tc>
          <w:tcPr>
            <w:tcW w:w="3284" w:type="dxa"/>
            <w:noWrap/>
          </w:tcPr>
          <w:p w14:paraId="41DE44B7" w14:textId="77777777" w:rsidR="00661DE4" w:rsidRPr="00BD2809" w:rsidRDefault="00661DE4" w:rsidP="00661DE4">
            <w:pPr>
              <w:rPr>
                <w:sz w:val="16"/>
              </w:rPr>
            </w:pPr>
            <w:r w:rsidRPr="00BD2809">
              <w:rPr>
                <w:sz w:val="16"/>
              </w:rPr>
              <w:t>2017 adult population based increase</w:t>
            </w:r>
          </w:p>
        </w:tc>
        <w:tc>
          <w:tcPr>
            <w:tcW w:w="992" w:type="dxa"/>
            <w:noWrap/>
          </w:tcPr>
          <w:p w14:paraId="06FEF72D" w14:textId="77777777" w:rsidR="00661DE4" w:rsidRPr="00BD2809" w:rsidRDefault="00661DE4" w:rsidP="00661DE4">
            <w:pPr>
              <w:rPr>
                <w:sz w:val="16"/>
              </w:rPr>
            </w:pPr>
            <w:r w:rsidRPr="00BD2809">
              <w:rPr>
                <w:sz w:val="16"/>
              </w:rPr>
              <w:t>0</w:t>
            </w:r>
          </w:p>
        </w:tc>
        <w:tc>
          <w:tcPr>
            <w:tcW w:w="1020" w:type="dxa"/>
            <w:noWrap/>
          </w:tcPr>
          <w:p w14:paraId="7E5D32E4" w14:textId="77777777" w:rsidR="00661DE4" w:rsidRPr="00BD2809" w:rsidRDefault="00661DE4" w:rsidP="00661DE4">
            <w:pPr>
              <w:rPr>
                <w:sz w:val="16"/>
              </w:rPr>
            </w:pPr>
            <w:r w:rsidRPr="00BD2809">
              <w:rPr>
                <w:sz w:val="16"/>
              </w:rPr>
              <w:t>178</w:t>
            </w:r>
          </w:p>
        </w:tc>
        <w:tc>
          <w:tcPr>
            <w:tcW w:w="688" w:type="dxa"/>
          </w:tcPr>
          <w:p w14:paraId="587641D9" w14:textId="77777777" w:rsidR="00661DE4" w:rsidRPr="00BD2809" w:rsidRDefault="00661DE4" w:rsidP="00661DE4">
            <w:pPr>
              <w:rPr>
                <w:sz w:val="16"/>
              </w:rPr>
            </w:pPr>
            <w:r w:rsidRPr="00BD2809">
              <w:rPr>
                <w:sz w:val="16"/>
              </w:rPr>
              <w:t>187</w:t>
            </w:r>
          </w:p>
        </w:tc>
      </w:tr>
      <w:tr w:rsidR="00661DE4" w:rsidRPr="00BD2809" w14:paraId="5A96C31B" w14:textId="77777777" w:rsidTr="00661DE4">
        <w:tc>
          <w:tcPr>
            <w:tcW w:w="962" w:type="dxa"/>
            <w:tcBorders>
              <w:bottom w:val="single" w:sz="4" w:space="0" w:color="auto"/>
            </w:tcBorders>
          </w:tcPr>
          <w:p w14:paraId="7A153403" w14:textId="77777777" w:rsidR="00661DE4" w:rsidRPr="00BD2809" w:rsidRDefault="00661DE4" w:rsidP="00661DE4">
            <w:pPr>
              <w:rPr>
                <w:sz w:val="16"/>
              </w:rPr>
            </w:pPr>
          </w:p>
        </w:tc>
        <w:tc>
          <w:tcPr>
            <w:tcW w:w="3284" w:type="dxa"/>
            <w:tcBorders>
              <w:bottom w:val="single" w:sz="4" w:space="0" w:color="auto"/>
            </w:tcBorders>
            <w:noWrap/>
          </w:tcPr>
          <w:p w14:paraId="1A795ABE" w14:textId="77777777" w:rsidR="00661DE4" w:rsidRPr="00BD2809" w:rsidRDefault="00661DE4" w:rsidP="00661DE4">
            <w:pPr>
              <w:rPr>
                <w:sz w:val="16"/>
              </w:rPr>
            </w:pPr>
            <w:r w:rsidRPr="00BD2809">
              <w:rPr>
                <w:sz w:val="16"/>
              </w:rPr>
              <w:t>Potential cap</w:t>
            </w:r>
          </w:p>
        </w:tc>
        <w:tc>
          <w:tcPr>
            <w:tcW w:w="992" w:type="dxa"/>
            <w:tcBorders>
              <w:bottom w:val="single" w:sz="4" w:space="0" w:color="auto"/>
            </w:tcBorders>
            <w:noWrap/>
          </w:tcPr>
          <w:p w14:paraId="3C9AE40B" w14:textId="77777777" w:rsidR="00661DE4" w:rsidRPr="00BD2809" w:rsidRDefault="00661DE4" w:rsidP="00661DE4">
            <w:pPr>
              <w:rPr>
                <w:sz w:val="16"/>
              </w:rPr>
            </w:pPr>
            <w:r w:rsidRPr="00BD2809">
              <w:rPr>
                <w:sz w:val="16"/>
              </w:rPr>
              <w:t>638</w:t>
            </w:r>
          </w:p>
        </w:tc>
        <w:tc>
          <w:tcPr>
            <w:tcW w:w="1020" w:type="dxa"/>
            <w:tcBorders>
              <w:bottom w:val="single" w:sz="4" w:space="0" w:color="auto"/>
            </w:tcBorders>
            <w:noWrap/>
          </w:tcPr>
          <w:p w14:paraId="1D2B5C9B" w14:textId="77777777" w:rsidR="00661DE4" w:rsidRPr="00BD2809" w:rsidRDefault="00661DE4" w:rsidP="00661DE4">
            <w:pPr>
              <w:rPr>
                <w:sz w:val="16"/>
              </w:rPr>
            </w:pPr>
            <w:r w:rsidRPr="00BD2809">
              <w:rPr>
                <w:sz w:val="16"/>
              </w:rPr>
              <w:t>790</w:t>
            </w:r>
          </w:p>
        </w:tc>
        <w:tc>
          <w:tcPr>
            <w:tcW w:w="688" w:type="dxa"/>
            <w:tcBorders>
              <w:bottom w:val="single" w:sz="4" w:space="0" w:color="auto"/>
            </w:tcBorders>
          </w:tcPr>
          <w:p w14:paraId="238C5B49" w14:textId="77777777" w:rsidR="00661DE4" w:rsidRPr="00BD2809" w:rsidRDefault="00661DE4" w:rsidP="00661DE4">
            <w:pPr>
              <w:rPr>
                <w:sz w:val="16"/>
              </w:rPr>
            </w:pPr>
            <w:r w:rsidRPr="00BD2809">
              <w:rPr>
                <w:sz w:val="16"/>
              </w:rPr>
              <w:t>1,368</w:t>
            </w:r>
          </w:p>
        </w:tc>
      </w:tr>
    </w:tbl>
    <w:p w14:paraId="64C7B680" w14:textId="77777777" w:rsidR="00661DE4" w:rsidRDefault="00661DE4" w:rsidP="00661DE4"/>
    <w:p w14:paraId="5CB14894" w14:textId="77777777" w:rsidR="00661DE4" w:rsidRDefault="00661DE4" w:rsidP="00661DE4">
      <w:pPr>
        <w:spacing w:after="120"/>
      </w:pPr>
      <w:r>
        <w:t>Other conditions placed on venues include:</w:t>
      </w:r>
    </w:p>
    <w:p w14:paraId="183A4E2E" w14:textId="77777777" w:rsidR="00661DE4" w:rsidRDefault="00661DE4" w:rsidP="00661DE4">
      <w:pPr>
        <w:pStyle w:val="ListParagraph"/>
        <w:numPr>
          <w:ilvl w:val="0"/>
          <w:numId w:val="11"/>
        </w:numPr>
        <w:spacing w:after="120" w:line="276" w:lineRule="auto"/>
      </w:pPr>
      <w:r>
        <w:t>C</w:t>
      </w:r>
      <w:r w:rsidRPr="006C5E06">
        <w:t>lubs are not able to hold more than 420 club gaming machine entitlements</w:t>
      </w:r>
      <w:r>
        <w:t>.</w:t>
      </w:r>
    </w:p>
    <w:p w14:paraId="0FD5EA38" w14:textId="77777777" w:rsidR="00661DE4" w:rsidRDefault="00661DE4" w:rsidP="00661DE4">
      <w:pPr>
        <w:pStyle w:val="ListParagraph"/>
        <w:numPr>
          <w:ilvl w:val="0"/>
          <w:numId w:val="11"/>
        </w:numPr>
        <w:spacing w:after="120" w:line="276" w:lineRule="auto"/>
      </w:pPr>
      <w:r>
        <w:t>N</w:t>
      </w:r>
      <w:r w:rsidRPr="006C5E06">
        <w:t>o single venue may have more than 105 entitlements.</w:t>
      </w:r>
    </w:p>
    <w:p w14:paraId="1C871FF7" w14:textId="77777777" w:rsidR="00661DE4" w:rsidRDefault="00661DE4" w:rsidP="00661DE4">
      <w:pPr>
        <w:spacing w:after="120"/>
      </w:pPr>
      <w:r>
        <w:t>With the 287 entitlements that can still be used in the municipal district it may be possible that one of the four current venues, or a new venue, applies for an entitlement increase. The last time there was a major increase in entitlements was from 2011/12 to 2012/13 when the number of entitlements jumped from 654 to 891 due to the VCGLR changing the entitlements cap.</w:t>
      </w:r>
    </w:p>
    <w:p w14:paraId="06E2145C" w14:textId="77777777" w:rsidR="00661DE4" w:rsidRDefault="00661DE4" w:rsidP="00661DE4">
      <w:r>
        <w:t>The map below shows the locations of the venues in Wyndham from the perspective of a heatmap of SEIFA IRSD scores, where a darker colour means a higher level of disadvantage. The areas to which the IRSD scores apply are the smallest areas that it is possible to map this index on. The map clearly shows that the majority of venues are located in or near areas with high relative disadvantage. Only the Hotel 520 on Sayers and the three venues in Point Cook are not as close to disadvantaged areas as the other venues.</w:t>
      </w:r>
    </w:p>
    <w:p w14:paraId="2A33C7CB" w14:textId="77777777" w:rsidR="00661DE4" w:rsidRDefault="00661DE4" w:rsidP="00661DE4">
      <w:pPr>
        <w:pStyle w:val="Caption"/>
        <w:keepNext/>
      </w:pPr>
      <w:r>
        <w:lastRenderedPageBreak/>
        <w:t>Map: Venues and small area SEIFA IRSD score</w:t>
      </w:r>
      <w:r>
        <w:rPr>
          <w:noProof/>
        </w:rPr>
        <w:t>s, 2011</w:t>
      </w:r>
    </w:p>
    <w:p w14:paraId="1F847D55" w14:textId="77777777" w:rsidR="00661DE4" w:rsidRDefault="00661DE4" w:rsidP="00661DE4">
      <w:pPr>
        <w:pStyle w:val="Heading1"/>
      </w:pPr>
      <w:r>
        <w:rPr>
          <w:noProof/>
          <w:lang w:val="en-US"/>
        </w:rPr>
        <w:drawing>
          <wp:inline distT="0" distB="0" distL="0" distR="0" wp14:anchorId="6EEDD3FA" wp14:editId="34EA0E97">
            <wp:extent cx="5731510" cy="4053205"/>
            <wp:effectExtent l="0" t="0" r="2540" b="4445"/>
            <wp:docPr id="4" name="Picture 4" descr="C:\Users\lmidolo\AppData\Local\Microsoft\Windows\INetCache\Content.Word\Leading Communities - EGM Venues and SEFIA overlay- 2015-02-20 (A957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idolo\AppData\Local\Microsoft\Windows\INetCache\Content.Word\Leading Communities - EGM Venues and SEFIA overlay- 2015-02-20 (A95759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4053205"/>
                    </a:xfrm>
                    <a:prstGeom prst="rect">
                      <a:avLst/>
                    </a:prstGeom>
                    <a:noFill/>
                    <a:ln>
                      <a:noFill/>
                    </a:ln>
                  </pic:spPr>
                </pic:pic>
              </a:graphicData>
            </a:graphic>
          </wp:inline>
        </w:drawing>
      </w:r>
    </w:p>
    <w:p w14:paraId="38C8DD67" w14:textId="77777777" w:rsidR="00661DE4" w:rsidRDefault="00661DE4" w:rsidP="00661DE4">
      <w:r>
        <w:br w:type="page"/>
      </w:r>
    </w:p>
    <w:p w14:paraId="0CE282C0" w14:textId="77777777" w:rsidR="00661DE4" w:rsidRPr="00EF66B8" w:rsidRDefault="00661DE4" w:rsidP="00661DE4">
      <w:pPr>
        <w:pStyle w:val="Heading1"/>
        <w:rPr>
          <w:b/>
          <w:color w:val="7030A0"/>
        </w:rPr>
      </w:pPr>
      <w:r w:rsidRPr="00EF66B8">
        <w:rPr>
          <w:b/>
          <w:color w:val="7030A0"/>
        </w:rPr>
        <w:lastRenderedPageBreak/>
        <w:t>Expenditure: from Wyndham to venues</w:t>
      </w:r>
      <w:r w:rsidRPr="00EF66B8">
        <w:rPr>
          <w:b/>
          <w:color w:val="7030A0"/>
          <w:vertAlign w:val="superscript"/>
        </w:rPr>
        <w:footnoteReference w:id="13"/>
      </w:r>
    </w:p>
    <w:p w14:paraId="68BEBA6B" w14:textId="77777777" w:rsidR="00661DE4" w:rsidRPr="00EF66B8" w:rsidRDefault="00661DE4" w:rsidP="00661DE4">
      <w:pPr>
        <w:pStyle w:val="Heading2"/>
        <w:rPr>
          <w:color w:val="7030A0"/>
        </w:rPr>
      </w:pPr>
      <w:r w:rsidRPr="00EF66B8">
        <w:rPr>
          <w:color w:val="7030A0"/>
        </w:rPr>
        <w:t>Wyndham expenditure</w:t>
      </w:r>
    </w:p>
    <w:p w14:paraId="78027D53" w14:textId="77777777" w:rsidR="00661DE4" w:rsidRPr="00894F6F" w:rsidRDefault="00661DE4" w:rsidP="00661DE4">
      <w:r w:rsidRPr="00894F6F">
        <w:t>Total EGM expenditure in Wyndham in 2016/17 was $97,761,233.60. This is the seventh highest expenditure in Greater Melbourne as the figure below shows.</w:t>
      </w:r>
    </w:p>
    <w:p w14:paraId="128ECCEB" w14:textId="70454E8B" w:rsidR="00661DE4" w:rsidRPr="00894F6F" w:rsidRDefault="00661DE4" w:rsidP="00661DE4">
      <w:pPr>
        <w:pStyle w:val="Caption"/>
        <w:keepNext/>
      </w:pPr>
      <w:r w:rsidRPr="00894F6F">
        <w:t xml:space="preserve">Figure </w:t>
      </w:r>
      <w:r w:rsidR="001D711E">
        <w:fldChar w:fldCharType="begin"/>
      </w:r>
      <w:r w:rsidR="001D711E">
        <w:instrText xml:space="preserve"> SEQ Figure \* ARABIC </w:instrText>
      </w:r>
      <w:r w:rsidR="001D711E">
        <w:fldChar w:fldCharType="separate"/>
      </w:r>
      <w:r w:rsidR="008E5920">
        <w:rPr>
          <w:noProof/>
        </w:rPr>
        <w:t>1</w:t>
      </w:r>
      <w:r w:rsidR="001D711E">
        <w:rPr>
          <w:noProof/>
        </w:rPr>
        <w:fldChar w:fldCharType="end"/>
      </w:r>
      <w:r w:rsidRPr="00894F6F">
        <w:t>: Total EGM expenditure in Greater Melbourne municipalities, 2016/17</w:t>
      </w:r>
    </w:p>
    <w:p w14:paraId="0B581F47" w14:textId="77777777" w:rsidR="00661DE4" w:rsidRPr="00894F6F" w:rsidRDefault="00661DE4" w:rsidP="00661DE4">
      <w:r w:rsidRPr="00894F6F">
        <w:rPr>
          <w:noProof/>
          <w:lang w:val="en-US"/>
        </w:rPr>
        <w:drawing>
          <wp:inline distT="0" distB="0" distL="0" distR="0" wp14:anchorId="123E7892" wp14:editId="01A437FC">
            <wp:extent cx="4864358" cy="5829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93125" cy="5863773"/>
                    </a:xfrm>
                    <a:prstGeom prst="rect">
                      <a:avLst/>
                    </a:prstGeom>
                    <a:noFill/>
                  </pic:spPr>
                </pic:pic>
              </a:graphicData>
            </a:graphic>
          </wp:inline>
        </w:drawing>
      </w:r>
    </w:p>
    <w:p w14:paraId="4EB49A58" w14:textId="77777777" w:rsidR="00661DE4" w:rsidRDefault="00661DE4" w:rsidP="00661DE4">
      <w:r>
        <w:t xml:space="preserve">Wyndham has not seen the consistent decrease in EGM expenditure that Greater Melbourne has had between 2002/03 and 2016/17. Between 2002/03 and 2010/11 total EGM spending in Wyndham consistently rose from $81 million to $91 million after which it has remained reasonably level. By contrast, total expenditure across Greater Melbourne has consistently decreased. The </w:t>
      </w:r>
      <w:r>
        <w:lastRenderedPageBreak/>
        <w:t>levelling off in Wyndham from 2012/13 onwards is at least in part the result of regulatory changes that saw the banning of ATMs in EGM venues.</w:t>
      </w:r>
    </w:p>
    <w:p w14:paraId="0191FA9D" w14:textId="77777777" w:rsidR="00661DE4" w:rsidRPr="00894F6F" w:rsidRDefault="00661DE4" w:rsidP="00661DE4">
      <w:r>
        <w:t>As the below figure shows Wyndham’s growth in EGM expenditure has been consistently higher than that in Greater Melbourne: Greater Melbourne’s total expenditure grew only in five of the 14 years while Wyndham recorded growth in 11 of the 14 years.</w:t>
      </w:r>
    </w:p>
    <w:p w14:paraId="584807F0" w14:textId="77777777" w:rsidR="00661DE4" w:rsidRPr="00894F6F" w:rsidRDefault="00661DE4" w:rsidP="00661DE4">
      <w:r w:rsidRPr="00894F6F">
        <w:rPr>
          <w:rFonts w:eastAsiaTheme="minorEastAsia"/>
          <w:b/>
          <w:bCs/>
          <w:sz w:val="24"/>
          <w:szCs w:val="18"/>
          <w:lang w:eastAsia="en-AU"/>
        </w:rPr>
        <w:t xml:space="preserve">Figure </w:t>
      </w:r>
      <w:r>
        <w:rPr>
          <w:rFonts w:eastAsiaTheme="minorEastAsia"/>
          <w:b/>
          <w:bCs/>
          <w:sz w:val="24"/>
          <w:szCs w:val="18"/>
          <w:lang w:eastAsia="en-AU"/>
        </w:rPr>
        <w:t>2</w:t>
      </w:r>
      <w:r w:rsidRPr="00894F6F">
        <w:rPr>
          <w:rFonts w:eastAsiaTheme="minorEastAsia"/>
          <w:b/>
          <w:bCs/>
          <w:sz w:val="24"/>
          <w:szCs w:val="18"/>
          <w:lang w:eastAsia="en-AU"/>
        </w:rPr>
        <w:t>:</w:t>
      </w:r>
      <w:r>
        <w:rPr>
          <w:rFonts w:eastAsiaTheme="minorEastAsia"/>
          <w:b/>
          <w:bCs/>
          <w:sz w:val="24"/>
          <w:szCs w:val="18"/>
          <w:lang w:eastAsia="en-AU"/>
        </w:rPr>
        <w:t xml:space="preserve"> Yearly EGM</w:t>
      </w:r>
      <w:r w:rsidRPr="00894F6F">
        <w:rPr>
          <w:rFonts w:eastAsiaTheme="minorEastAsia"/>
          <w:b/>
          <w:bCs/>
          <w:sz w:val="24"/>
          <w:szCs w:val="18"/>
          <w:lang w:eastAsia="en-AU"/>
        </w:rPr>
        <w:t xml:space="preserve"> expenditure growth rates, Wyndham and Greater Melbourne</w:t>
      </w:r>
    </w:p>
    <w:p w14:paraId="5E657726" w14:textId="77777777" w:rsidR="00661DE4" w:rsidRPr="00894F6F" w:rsidRDefault="00661DE4" w:rsidP="00661DE4">
      <w:pPr>
        <w:keepNext/>
        <w:spacing w:line="240" w:lineRule="auto"/>
        <w:rPr>
          <w:rFonts w:eastAsiaTheme="minorEastAsia"/>
          <w:b/>
          <w:bCs/>
          <w:sz w:val="24"/>
          <w:szCs w:val="18"/>
          <w:lang w:eastAsia="en-AU"/>
        </w:rPr>
      </w:pPr>
      <w:r w:rsidRPr="00894F6F">
        <w:rPr>
          <w:noProof/>
          <w:lang w:val="en-US"/>
        </w:rPr>
        <w:drawing>
          <wp:inline distT="0" distB="0" distL="0" distR="0" wp14:anchorId="140461D7" wp14:editId="072A3DCA">
            <wp:extent cx="5238750" cy="2944881"/>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65242" cy="2959773"/>
                    </a:xfrm>
                    <a:prstGeom prst="rect">
                      <a:avLst/>
                    </a:prstGeom>
                    <a:noFill/>
                  </pic:spPr>
                </pic:pic>
              </a:graphicData>
            </a:graphic>
          </wp:inline>
        </w:drawing>
      </w:r>
    </w:p>
    <w:p w14:paraId="7598E6DC" w14:textId="77777777" w:rsidR="00661DE4" w:rsidRDefault="00661DE4" w:rsidP="00661DE4"/>
    <w:p w14:paraId="05DD8202" w14:textId="77777777" w:rsidR="00661DE4" w:rsidRPr="00B710A6" w:rsidRDefault="00661DE4" w:rsidP="00661DE4">
      <w:r w:rsidRPr="00B710A6">
        <w:t xml:space="preserve">It is possible that a growth in EGM expenditure is affected by the number of EGMs that are available to residents and the large population increase that Wyndham has experienced. The figure below displays the total number of EGMs against total expenditure. It shows that despite an increase in the number of EGMs in 2012/13, there was a decrease in expenditure in </w:t>
      </w:r>
      <w:r>
        <w:t xml:space="preserve">that year – most due to the abolition </w:t>
      </w:r>
      <w:r w:rsidRPr="00B710A6">
        <w:t xml:space="preserve">of ATMs in venues. </w:t>
      </w:r>
      <w:r>
        <w:t xml:space="preserve">However, in the next four years there was an increase in total expenditure. </w:t>
      </w:r>
    </w:p>
    <w:p w14:paraId="1DD1326A" w14:textId="77777777" w:rsidR="00661DE4" w:rsidRPr="00894F6F" w:rsidRDefault="00661DE4" w:rsidP="00661DE4">
      <w:pPr>
        <w:keepNext/>
        <w:spacing w:line="240" w:lineRule="auto"/>
        <w:rPr>
          <w:rFonts w:eastAsiaTheme="minorEastAsia"/>
          <w:b/>
          <w:bCs/>
          <w:sz w:val="24"/>
          <w:szCs w:val="18"/>
          <w:lang w:eastAsia="en-AU"/>
        </w:rPr>
      </w:pPr>
      <w:r w:rsidRPr="00894F6F">
        <w:rPr>
          <w:rFonts w:eastAsiaTheme="minorEastAsia"/>
          <w:b/>
          <w:bCs/>
          <w:sz w:val="24"/>
          <w:szCs w:val="18"/>
          <w:lang w:eastAsia="en-AU"/>
        </w:rPr>
        <w:lastRenderedPageBreak/>
        <w:t xml:space="preserve">Figure </w:t>
      </w:r>
      <w:r>
        <w:rPr>
          <w:rFonts w:eastAsiaTheme="minorEastAsia"/>
          <w:b/>
          <w:bCs/>
          <w:sz w:val="24"/>
          <w:szCs w:val="18"/>
          <w:lang w:eastAsia="en-AU"/>
        </w:rPr>
        <w:t>3</w:t>
      </w:r>
      <w:r w:rsidRPr="00894F6F">
        <w:rPr>
          <w:rFonts w:eastAsiaTheme="minorEastAsia"/>
          <w:b/>
          <w:bCs/>
          <w:sz w:val="24"/>
          <w:szCs w:val="18"/>
          <w:lang w:eastAsia="en-AU"/>
        </w:rPr>
        <w:t>: Number of EGMs and total EGM e</w:t>
      </w:r>
      <w:r>
        <w:rPr>
          <w:rFonts w:eastAsiaTheme="minorEastAsia"/>
          <w:b/>
          <w:bCs/>
          <w:sz w:val="24"/>
          <w:szCs w:val="18"/>
          <w:lang w:eastAsia="en-AU"/>
        </w:rPr>
        <w:t>xpenditure,</w:t>
      </w:r>
      <w:r w:rsidRPr="00894F6F">
        <w:rPr>
          <w:rFonts w:eastAsiaTheme="minorEastAsia"/>
          <w:b/>
          <w:bCs/>
          <w:sz w:val="24"/>
          <w:szCs w:val="18"/>
          <w:lang w:eastAsia="en-AU"/>
        </w:rPr>
        <w:t xml:space="preserve"> Wyndham</w:t>
      </w:r>
    </w:p>
    <w:p w14:paraId="7D87BC02" w14:textId="77777777" w:rsidR="00661DE4" w:rsidRPr="00894F6F" w:rsidRDefault="00661DE4" w:rsidP="00661DE4">
      <w:r w:rsidRPr="00894F6F">
        <w:rPr>
          <w:noProof/>
          <w:lang w:val="en-US"/>
        </w:rPr>
        <w:drawing>
          <wp:inline distT="0" distB="0" distL="0" distR="0" wp14:anchorId="7A9134B3" wp14:editId="2F9FB612">
            <wp:extent cx="4048163" cy="25336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79290" cy="2553132"/>
                    </a:xfrm>
                    <a:prstGeom prst="rect">
                      <a:avLst/>
                    </a:prstGeom>
                    <a:noFill/>
                  </pic:spPr>
                </pic:pic>
              </a:graphicData>
            </a:graphic>
          </wp:inline>
        </w:drawing>
      </w:r>
    </w:p>
    <w:p w14:paraId="5B449F12" w14:textId="77777777" w:rsidR="00661DE4" w:rsidRPr="00894F6F" w:rsidRDefault="00661DE4" w:rsidP="00661DE4">
      <w:pPr>
        <w:rPr>
          <w:b/>
        </w:rPr>
      </w:pPr>
    </w:p>
    <w:p w14:paraId="7297699A" w14:textId="77777777" w:rsidR="00661DE4" w:rsidRDefault="00661DE4" w:rsidP="00661DE4">
      <w:r>
        <w:t>EGM availability has increased in Wyndham between 2008/09 and 2016/17 whereas it has decreased in Greater Melbourne. Despite the increase in EGM availability, average expenditure per adult has decreased as the table below shows. This is in part a result of strong population growth and the small increase in total EGM expenditure (4% between 2008/09 and 2016/17) relative to the increase in the number of EGMs, and possibly due to regulatory and policy changes – the banning of ATMs in particular.</w:t>
      </w:r>
    </w:p>
    <w:p w14:paraId="35BB20A6" w14:textId="77777777" w:rsidR="00661DE4" w:rsidRDefault="00661DE4" w:rsidP="00661DE4">
      <w:r>
        <w:t>It is not possible to identify expenditure by only those who have EGMs. The decrease in expenditure over all Wyndham adults does not mean that the gambling problem is disappearing; what the figures could be hiding is that fewer adults could be gambling but at a higher rate.</w:t>
      </w:r>
    </w:p>
    <w:p w14:paraId="66E042C4" w14:textId="77777777" w:rsidR="00661DE4" w:rsidRDefault="00661DE4" w:rsidP="00661DE4"/>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
        <w:gridCol w:w="936"/>
        <w:gridCol w:w="1701"/>
        <w:gridCol w:w="993"/>
        <w:gridCol w:w="1559"/>
      </w:tblGrid>
      <w:tr w:rsidR="00661DE4" w:rsidRPr="00C766D2" w14:paraId="1CDC4EC8" w14:textId="77777777" w:rsidTr="00661DE4">
        <w:tc>
          <w:tcPr>
            <w:tcW w:w="765" w:type="dxa"/>
            <w:tcBorders>
              <w:top w:val="dotted" w:sz="4" w:space="0" w:color="auto"/>
              <w:bottom w:val="nil"/>
            </w:tcBorders>
          </w:tcPr>
          <w:p w14:paraId="446E3777" w14:textId="77777777" w:rsidR="00661DE4" w:rsidRPr="00C766D2" w:rsidRDefault="00661DE4" w:rsidP="00661DE4">
            <w:pPr>
              <w:rPr>
                <w:b/>
                <w:sz w:val="16"/>
                <w:szCs w:val="16"/>
              </w:rPr>
            </w:pPr>
          </w:p>
        </w:tc>
        <w:tc>
          <w:tcPr>
            <w:tcW w:w="2637" w:type="dxa"/>
            <w:gridSpan w:val="2"/>
            <w:tcBorders>
              <w:top w:val="dotted" w:sz="4" w:space="0" w:color="auto"/>
              <w:bottom w:val="nil"/>
            </w:tcBorders>
          </w:tcPr>
          <w:p w14:paraId="53529709" w14:textId="77777777" w:rsidR="00661DE4" w:rsidRPr="00C766D2" w:rsidRDefault="00661DE4" w:rsidP="00661DE4">
            <w:pPr>
              <w:rPr>
                <w:b/>
                <w:sz w:val="16"/>
                <w:szCs w:val="16"/>
              </w:rPr>
            </w:pPr>
            <w:r>
              <w:rPr>
                <w:b/>
                <w:sz w:val="16"/>
                <w:szCs w:val="16"/>
              </w:rPr>
              <w:t>Average EGM expenditure per adult</w:t>
            </w:r>
          </w:p>
        </w:tc>
        <w:tc>
          <w:tcPr>
            <w:tcW w:w="2552" w:type="dxa"/>
            <w:gridSpan w:val="2"/>
            <w:tcBorders>
              <w:top w:val="dotted" w:sz="4" w:space="0" w:color="auto"/>
              <w:bottom w:val="nil"/>
            </w:tcBorders>
          </w:tcPr>
          <w:p w14:paraId="22792710" w14:textId="77777777" w:rsidR="00661DE4" w:rsidRDefault="00661DE4" w:rsidP="00661DE4">
            <w:pPr>
              <w:rPr>
                <w:b/>
                <w:sz w:val="16"/>
                <w:szCs w:val="16"/>
              </w:rPr>
            </w:pPr>
            <w:r>
              <w:rPr>
                <w:b/>
                <w:sz w:val="16"/>
                <w:szCs w:val="16"/>
              </w:rPr>
              <w:t>Number of EGMs per 1,000 adults</w:t>
            </w:r>
          </w:p>
        </w:tc>
      </w:tr>
      <w:tr w:rsidR="00661DE4" w:rsidRPr="00C766D2" w14:paraId="369CE919" w14:textId="77777777" w:rsidTr="00661DE4">
        <w:tc>
          <w:tcPr>
            <w:tcW w:w="765" w:type="dxa"/>
            <w:tcBorders>
              <w:top w:val="nil"/>
              <w:bottom w:val="single" w:sz="4" w:space="0" w:color="auto"/>
            </w:tcBorders>
          </w:tcPr>
          <w:p w14:paraId="4AC70A73" w14:textId="77777777" w:rsidR="00661DE4" w:rsidRPr="00C766D2" w:rsidRDefault="00661DE4" w:rsidP="00661DE4">
            <w:pPr>
              <w:rPr>
                <w:i/>
                <w:sz w:val="16"/>
                <w:szCs w:val="16"/>
              </w:rPr>
            </w:pPr>
          </w:p>
        </w:tc>
        <w:tc>
          <w:tcPr>
            <w:tcW w:w="936" w:type="dxa"/>
            <w:tcBorders>
              <w:top w:val="nil"/>
              <w:bottom w:val="single" w:sz="4" w:space="0" w:color="auto"/>
            </w:tcBorders>
          </w:tcPr>
          <w:p w14:paraId="50E8B5AB" w14:textId="77777777" w:rsidR="00661DE4" w:rsidRPr="00C766D2" w:rsidRDefault="00661DE4" w:rsidP="00661DE4">
            <w:pPr>
              <w:rPr>
                <w:i/>
                <w:sz w:val="16"/>
                <w:szCs w:val="16"/>
              </w:rPr>
            </w:pPr>
            <w:r w:rsidRPr="00C766D2">
              <w:rPr>
                <w:i/>
                <w:sz w:val="16"/>
                <w:szCs w:val="16"/>
              </w:rPr>
              <w:t>Wyndham</w:t>
            </w:r>
          </w:p>
        </w:tc>
        <w:tc>
          <w:tcPr>
            <w:tcW w:w="1701" w:type="dxa"/>
            <w:tcBorders>
              <w:top w:val="nil"/>
              <w:bottom w:val="single" w:sz="4" w:space="0" w:color="auto"/>
            </w:tcBorders>
          </w:tcPr>
          <w:p w14:paraId="0A8E3D70" w14:textId="77777777" w:rsidR="00661DE4" w:rsidRPr="00C766D2" w:rsidRDefault="00661DE4" w:rsidP="00661DE4">
            <w:pPr>
              <w:rPr>
                <w:i/>
                <w:sz w:val="16"/>
                <w:szCs w:val="16"/>
              </w:rPr>
            </w:pPr>
            <w:r w:rsidRPr="00C766D2">
              <w:rPr>
                <w:i/>
                <w:sz w:val="16"/>
                <w:szCs w:val="16"/>
              </w:rPr>
              <w:t>Greater Melbourne</w:t>
            </w:r>
          </w:p>
        </w:tc>
        <w:tc>
          <w:tcPr>
            <w:tcW w:w="993" w:type="dxa"/>
            <w:tcBorders>
              <w:top w:val="nil"/>
              <w:bottom w:val="single" w:sz="4" w:space="0" w:color="auto"/>
            </w:tcBorders>
          </w:tcPr>
          <w:p w14:paraId="0DD79CC6" w14:textId="77777777" w:rsidR="00661DE4" w:rsidRPr="00C766D2" w:rsidRDefault="00661DE4" w:rsidP="00661DE4">
            <w:pPr>
              <w:rPr>
                <w:i/>
                <w:sz w:val="16"/>
                <w:szCs w:val="16"/>
              </w:rPr>
            </w:pPr>
            <w:r>
              <w:rPr>
                <w:i/>
                <w:sz w:val="16"/>
                <w:szCs w:val="16"/>
              </w:rPr>
              <w:t>Wyndham</w:t>
            </w:r>
          </w:p>
        </w:tc>
        <w:tc>
          <w:tcPr>
            <w:tcW w:w="1559" w:type="dxa"/>
            <w:tcBorders>
              <w:top w:val="nil"/>
              <w:bottom w:val="single" w:sz="4" w:space="0" w:color="auto"/>
            </w:tcBorders>
          </w:tcPr>
          <w:p w14:paraId="23A61C6B" w14:textId="77777777" w:rsidR="00661DE4" w:rsidRPr="00C766D2" w:rsidRDefault="00661DE4" w:rsidP="00661DE4">
            <w:pPr>
              <w:rPr>
                <w:i/>
                <w:sz w:val="16"/>
                <w:szCs w:val="16"/>
              </w:rPr>
            </w:pPr>
            <w:r>
              <w:rPr>
                <w:i/>
                <w:sz w:val="16"/>
                <w:szCs w:val="16"/>
              </w:rPr>
              <w:t>Greater Melbourne</w:t>
            </w:r>
          </w:p>
        </w:tc>
      </w:tr>
      <w:tr w:rsidR="00661DE4" w:rsidRPr="00C21401" w14:paraId="4B875E43" w14:textId="77777777" w:rsidTr="00661DE4">
        <w:tc>
          <w:tcPr>
            <w:tcW w:w="765" w:type="dxa"/>
            <w:tcBorders>
              <w:top w:val="single" w:sz="4" w:space="0" w:color="auto"/>
              <w:bottom w:val="nil"/>
            </w:tcBorders>
          </w:tcPr>
          <w:p w14:paraId="3CA72EB6" w14:textId="77777777" w:rsidR="00661DE4" w:rsidRPr="00C21401" w:rsidRDefault="00661DE4" w:rsidP="00661DE4">
            <w:pPr>
              <w:rPr>
                <w:sz w:val="16"/>
                <w:szCs w:val="16"/>
              </w:rPr>
            </w:pPr>
            <w:r w:rsidRPr="00C21401">
              <w:rPr>
                <w:sz w:val="16"/>
                <w:szCs w:val="16"/>
              </w:rPr>
              <w:t>20</w:t>
            </w:r>
            <w:r>
              <w:rPr>
                <w:sz w:val="16"/>
                <w:szCs w:val="16"/>
              </w:rPr>
              <w:t>08</w:t>
            </w:r>
            <w:r w:rsidRPr="00C21401">
              <w:rPr>
                <w:sz w:val="16"/>
                <w:szCs w:val="16"/>
              </w:rPr>
              <w:t>/0</w:t>
            </w:r>
            <w:r>
              <w:rPr>
                <w:sz w:val="16"/>
                <w:szCs w:val="16"/>
              </w:rPr>
              <w:t>9</w:t>
            </w:r>
          </w:p>
        </w:tc>
        <w:tc>
          <w:tcPr>
            <w:tcW w:w="936" w:type="dxa"/>
            <w:tcBorders>
              <w:top w:val="single" w:sz="4" w:space="0" w:color="auto"/>
              <w:bottom w:val="nil"/>
            </w:tcBorders>
          </w:tcPr>
          <w:p w14:paraId="74B7D2A8" w14:textId="77777777" w:rsidR="00661DE4" w:rsidRPr="00C21401" w:rsidRDefault="00661DE4" w:rsidP="00661DE4">
            <w:pPr>
              <w:rPr>
                <w:sz w:val="16"/>
                <w:szCs w:val="16"/>
              </w:rPr>
            </w:pPr>
            <w:r w:rsidRPr="00C21401">
              <w:rPr>
                <w:sz w:val="16"/>
                <w:szCs w:val="16"/>
              </w:rPr>
              <w:t>$964</w:t>
            </w:r>
          </w:p>
        </w:tc>
        <w:tc>
          <w:tcPr>
            <w:tcW w:w="1701" w:type="dxa"/>
            <w:tcBorders>
              <w:top w:val="single" w:sz="4" w:space="0" w:color="auto"/>
              <w:bottom w:val="nil"/>
            </w:tcBorders>
          </w:tcPr>
          <w:p w14:paraId="4B196F5E" w14:textId="77777777" w:rsidR="00661DE4" w:rsidRPr="00C21401" w:rsidRDefault="00661DE4" w:rsidP="00661DE4">
            <w:pPr>
              <w:rPr>
                <w:sz w:val="16"/>
                <w:szCs w:val="16"/>
              </w:rPr>
            </w:pPr>
            <w:r w:rsidRPr="00C21401">
              <w:rPr>
                <w:sz w:val="16"/>
                <w:szCs w:val="16"/>
              </w:rPr>
              <w:t>$858.51</w:t>
            </w:r>
          </w:p>
        </w:tc>
        <w:tc>
          <w:tcPr>
            <w:tcW w:w="993" w:type="dxa"/>
            <w:tcBorders>
              <w:top w:val="single" w:sz="4" w:space="0" w:color="auto"/>
              <w:bottom w:val="nil"/>
            </w:tcBorders>
          </w:tcPr>
          <w:p w14:paraId="29D23833" w14:textId="77777777" w:rsidR="00661DE4" w:rsidRPr="00C21401" w:rsidRDefault="00661DE4" w:rsidP="00661DE4">
            <w:pPr>
              <w:rPr>
                <w:sz w:val="16"/>
                <w:szCs w:val="16"/>
              </w:rPr>
            </w:pPr>
            <w:r>
              <w:rPr>
                <w:sz w:val="16"/>
                <w:szCs w:val="16"/>
              </w:rPr>
              <w:t>4.27</w:t>
            </w:r>
          </w:p>
        </w:tc>
        <w:tc>
          <w:tcPr>
            <w:tcW w:w="1559" w:type="dxa"/>
            <w:tcBorders>
              <w:top w:val="single" w:sz="4" w:space="0" w:color="auto"/>
              <w:bottom w:val="nil"/>
            </w:tcBorders>
          </w:tcPr>
          <w:p w14:paraId="00C2C836" w14:textId="77777777" w:rsidR="00661DE4" w:rsidRPr="00C21401" w:rsidRDefault="00661DE4" w:rsidP="00661DE4">
            <w:pPr>
              <w:rPr>
                <w:sz w:val="16"/>
                <w:szCs w:val="16"/>
              </w:rPr>
            </w:pPr>
            <w:r>
              <w:rPr>
                <w:sz w:val="16"/>
                <w:szCs w:val="16"/>
              </w:rPr>
              <w:t>6.39</w:t>
            </w:r>
          </w:p>
        </w:tc>
      </w:tr>
      <w:tr w:rsidR="00661DE4" w:rsidRPr="00C21401" w14:paraId="52A0D21B" w14:textId="77777777" w:rsidTr="00661DE4">
        <w:tc>
          <w:tcPr>
            <w:tcW w:w="765" w:type="dxa"/>
            <w:tcBorders>
              <w:top w:val="nil"/>
              <w:bottom w:val="dotted" w:sz="4" w:space="0" w:color="auto"/>
            </w:tcBorders>
          </w:tcPr>
          <w:p w14:paraId="23381559" w14:textId="77777777" w:rsidR="00661DE4" w:rsidRPr="00C21401" w:rsidRDefault="00661DE4" w:rsidP="00661DE4">
            <w:pPr>
              <w:rPr>
                <w:sz w:val="16"/>
                <w:szCs w:val="16"/>
              </w:rPr>
            </w:pPr>
            <w:r w:rsidRPr="00C21401">
              <w:rPr>
                <w:sz w:val="16"/>
                <w:szCs w:val="16"/>
              </w:rPr>
              <w:t>2016/17</w:t>
            </w:r>
          </w:p>
        </w:tc>
        <w:tc>
          <w:tcPr>
            <w:tcW w:w="936" w:type="dxa"/>
            <w:tcBorders>
              <w:top w:val="nil"/>
              <w:bottom w:val="dotted" w:sz="4" w:space="0" w:color="auto"/>
            </w:tcBorders>
          </w:tcPr>
          <w:p w14:paraId="3997B094" w14:textId="77777777" w:rsidR="00661DE4" w:rsidRPr="00C21401" w:rsidRDefault="00661DE4" w:rsidP="00661DE4">
            <w:pPr>
              <w:rPr>
                <w:sz w:val="16"/>
                <w:szCs w:val="16"/>
              </w:rPr>
            </w:pPr>
            <w:r w:rsidRPr="00C21401">
              <w:rPr>
                <w:sz w:val="16"/>
                <w:szCs w:val="16"/>
              </w:rPr>
              <w:t>$600.55</w:t>
            </w:r>
          </w:p>
        </w:tc>
        <w:tc>
          <w:tcPr>
            <w:tcW w:w="1701" w:type="dxa"/>
            <w:tcBorders>
              <w:top w:val="nil"/>
              <w:bottom w:val="dotted" w:sz="4" w:space="0" w:color="auto"/>
            </w:tcBorders>
          </w:tcPr>
          <w:p w14:paraId="0B5DEEEB" w14:textId="77777777" w:rsidR="00661DE4" w:rsidRPr="00C21401" w:rsidRDefault="00661DE4" w:rsidP="00661DE4">
            <w:pPr>
              <w:rPr>
                <w:sz w:val="16"/>
                <w:szCs w:val="16"/>
              </w:rPr>
            </w:pPr>
            <w:r w:rsidRPr="00C21401">
              <w:rPr>
                <w:sz w:val="16"/>
                <w:szCs w:val="16"/>
              </w:rPr>
              <w:t>$561.07</w:t>
            </w:r>
          </w:p>
        </w:tc>
        <w:tc>
          <w:tcPr>
            <w:tcW w:w="993" w:type="dxa"/>
            <w:tcBorders>
              <w:top w:val="nil"/>
              <w:bottom w:val="dotted" w:sz="4" w:space="0" w:color="auto"/>
            </w:tcBorders>
          </w:tcPr>
          <w:p w14:paraId="2DA355FC" w14:textId="77777777" w:rsidR="00661DE4" w:rsidRPr="00C21401" w:rsidRDefault="00661DE4" w:rsidP="00661DE4">
            <w:pPr>
              <w:rPr>
                <w:sz w:val="16"/>
                <w:szCs w:val="16"/>
              </w:rPr>
            </w:pPr>
            <w:r>
              <w:rPr>
                <w:sz w:val="16"/>
                <w:szCs w:val="16"/>
              </w:rPr>
              <w:t>5.49</w:t>
            </w:r>
          </w:p>
        </w:tc>
        <w:tc>
          <w:tcPr>
            <w:tcW w:w="1559" w:type="dxa"/>
            <w:tcBorders>
              <w:top w:val="nil"/>
              <w:bottom w:val="dotted" w:sz="4" w:space="0" w:color="auto"/>
            </w:tcBorders>
          </w:tcPr>
          <w:p w14:paraId="6E266941" w14:textId="77777777" w:rsidR="00661DE4" w:rsidRPr="00C21401" w:rsidRDefault="00661DE4" w:rsidP="00661DE4">
            <w:pPr>
              <w:rPr>
                <w:sz w:val="16"/>
                <w:szCs w:val="16"/>
              </w:rPr>
            </w:pPr>
            <w:r>
              <w:rPr>
                <w:sz w:val="16"/>
                <w:szCs w:val="16"/>
              </w:rPr>
              <w:t>5.25</w:t>
            </w:r>
          </w:p>
        </w:tc>
      </w:tr>
    </w:tbl>
    <w:p w14:paraId="7EA93A6F" w14:textId="77777777" w:rsidR="00661DE4" w:rsidRPr="00894F6F" w:rsidRDefault="00661DE4" w:rsidP="00661DE4">
      <w:pPr>
        <w:keepNext/>
        <w:keepLines/>
        <w:spacing w:before="40" w:after="0"/>
        <w:outlineLvl w:val="1"/>
        <w:rPr>
          <w:rFonts w:asciiTheme="majorHAnsi" w:eastAsiaTheme="majorEastAsia" w:hAnsiTheme="majorHAnsi" w:cstheme="majorBidi"/>
          <w:color w:val="365F91" w:themeColor="accent1" w:themeShade="BF"/>
          <w:sz w:val="26"/>
          <w:szCs w:val="26"/>
        </w:rPr>
      </w:pPr>
    </w:p>
    <w:p w14:paraId="3D33B25B" w14:textId="77777777" w:rsidR="00661DE4" w:rsidRPr="00EF66B8" w:rsidRDefault="00661DE4" w:rsidP="00EF66B8">
      <w:pPr>
        <w:pStyle w:val="Heading2"/>
        <w:rPr>
          <w:color w:val="7030A0"/>
        </w:rPr>
      </w:pPr>
      <w:r w:rsidRPr="00EF66B8">
        <w:rPr>
          <w:color w:val="7030A0"/>
        </w:rPr>
        <w:t>Expenditure by venue</w:t>
      </w:r>
    </w:p>
    <w:p w14:paraId="034E149F" w14:textId="77777777" w:rsidR="00661DE4" w:rsidRDefault="00661DE4" w:rsidP="00661DE4">
      <w:r>
        <w:t>The seven hotels and six clubs in Wyndham have highly differing EGM numbers and expenditures. The table below summarises the venues’ locations, number of EGMs, player expenditure and recent growth rates in player expenditure.</w:t>
      </w:r>
    </w:p>
    <w:tbl>
      <w:tblPr>
        <w:tblStyle w:val="TableGrid"/>
        <w:tblW w:w="82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44"/>
        <w:gridCol w:w="662"/>
        <w:gridCol w:w="1427"/>
        <w:gridCol w:w="1228"/>
        <w:gridCol w:w="1027"/>
        <w:gridCol w:w="1024"/>
      </w:tblGrid>
      <w:tr w:rsidR="00661DE4" w:rsidRPr="00CF6EA5" w14:paraId="6D1080AD" w14:textId="77777777" w:rsidTr="00661DE4">
        <w:tc>
          <w:tcPr>
            <w:tcW w:w="2268" w:type="dxa"/>
            <w:tcBorders>
              <w:top w:val="single" w:sz="4" w:space="0" w:color="auto"/>
              <w:bottom w:val="single" w:sz="4" w:space="0" w:color="auto"/>
            </w:tcBorders>
            <w:noWrap/>
            <w:hideMark/>
          </w:tcPr>
          <w:p w14:paraId="6579B6C8" w14:textId="77777777" w:rsidR="00661DE4" w:rsidRPr="00CF6EA5" w:rsidRDefault="00661DE4" w:rsidP="00661DE4">
            <w:pPr>
              <w:rPr>
                <w:b/>
                <w:sz w:val="16"/>
                <w:szCs w:val="16"/>
              </w:rPr>
            </w:pPr>
            <w:r w:rsidRPr="00CF6EA5">
              <w:rPr>
                <w:b/>
                <w:sz w:val="16"/>
                <w:szCs w:val="16"/>
              </w:rPr>
              <w:t>Venue</w:t>
            </w:r>
          </w:p>
        </w:tc>
        <w:tc>
          <w:tcPr>
            <w:tcW w:w="644" w:type="dxa"/>
            <w:tcBorders>
              <w:top w:val="single" w:sz="4" w:space="0" w:color="auto"/>
              <w:bottom w:val="single" w:sz="4" w:space="0" w:color="auto"/>
            </w:tcBorders>
            <w:noWrap/>
            <w:hideMark/>
          </w:tcPr>
          <w:p w14:paraId="0965F825" w14:textId="77777777" w:rsidR="00661DE4" w:rsidRPr="00CF6EA5" w:rsidRDefault="00661DE4" w:rsidP="00661DE4">
            <w:pPr>
              <w:rPr>
                <w:b/>
                <w:sz w:val="16"/>
                <w:szCs w:val="16"/>
              </w:rPr>
            </w:pPr>
            <w:r>
              <w:rPr>
                <w:b/>
                <w:sz w:val="16"/>
                <w:szCs w:val="16"/>
              </w:rPr>
              <w:t>Venue type</w:t>
            </w:r>
          </w:p>
        </w:tc>
        <w:tc>
          <w:tcPr>
            <w:tcW w:w="662" w:type="dxa"/>
            <w:tcBorders>
              <w:top w:val="single" w:sz="4" w:space="0" w:color="auto"/>
              <w:bottom w:val="single" w:sz="4" w:space="0" w:color="auto"/>
            </w:tcBorders>
          </w:tcPr>
          <w:p w14:paraId="27ED539F" w14:textId="77777777" w:rsidR="00661DE4" w:rsidRPr="00CF6EA5" w:rsidRDefault="00661DE4" w:rsidP="00661DE4">
            <w:pPr>
              <w:rPr>
                <w:b/>
                <w:sz w:val="16"/>
                <w:szCs w:val="16"/>
              </w:rPr>
            </w:pPr>
            <w:r w:rsidRPr="00CF6EA5">
              <w:rPr>
                <w:b/>
                <w:sz w:val="16"/>
                <w:szCs w:val="16"/>
              </w:rPr>
              <w:t>EGMs</w:t>
            </w:r>
          </w:p>
        </w:tc>
        <w:tc>
          <w:tcPr>
            <w:tcW w:w="1427" w:type="dxa"/>
            <w:tcBorders>
              <w:top w:val="single" w:sz="4" w:space="0" w:color="auto"/>
              <w:bottom w:val="single" w:sz="4" w:space="0" w:color="auto"/>
            </w:tcBorders>
            <w:noWrap/>
            <w:hideMark/>
          </w:tcPr>
          <w:p w14:paraId="56ADCCBB" w14:textId="77777777" w:rsidR="00661DE4" w:rsidRPr="00CF6EA5" w:rsidRDefault="00661DE4" w:rsidP="00661DE4">
            <w:pPr>
              <w:rPr>
                <w:b/>
                <w:sz w:val="16"/>
                <w:szCs w:val="16"/>
              </w:rPr>
            </w:pPr>
            <w:r w:rsidRPr="00CF6EA5">
              <w:rPr>
                <w:b/>
                <w:sz w:val="16"/>
                <w:szCs w:val="16"/>
              </w:rPr>
              <w:t>Location</w:t>
            </w:r>
          </w:p>
        </w:tc>
        <w:tc>
          <w:tcPr>
            <w:tcW w:w="1228" w:type="dxa"/>
            <w:tcBorders>
              <w:top w:val="single" w:sz="4" w:space="0" w:color="auto"/>
              <w:bottom w:val="single" w:sz="4" w:space="0" w:color="auto"/>
            </w:tcBorders>
            <w:noWrap/>
            <w:hideMark/>
          </w:tcPr>
          <w:p w14:paraId="64941732" w14:textId="77777777" w:rsidR="00661DE4" w:rsidRPr="00CF6EA5" w:rsidRDefault="00661DE4" w:rsidP="00661DE4">
            <w:pPr>
              <w:rPr>
                <w:b/>
                <w:sz w:val="16"/>
                <w:szCs w:val="16"/>
              </w:rPr>
            </w:pPr>
            <w:r w:rsidRPr="00CF6EA5">
              <w:rPr>
                <w:b/>
                <w:sz w:val="16"/>
                <w:szCs w:val="16"/>
              </w:rPr>
              <w:t>Expenditure 2016/17</w:t>
            </w:r>
          </w:p>
        </w:tc>
        <w:tc>
          <w:tcPr>
            <w:tcW w:w="1027" w:type="dxa"/>
            <w:tcBorders>
              <w:top w:val="single" w:sz="4" w:space="0" w:color="auto"/>
              <w:bottom w:val="single" w:sz="4" w:space="0" w:color="auto"/>
            </w:tcBorders>
          </w:tcPr>
          <w:p w14:paraId="204ABD45" w14:textId="77777777" w:rsidR="00661DE4" w:rsidRPr="00CF6EA5" w:rsidRDefault="00661DE4" w:rsidP="00661DE4">
            <w:pPr>
              <w:rPr>
                <w:b/>
                <w:sz w:val="16"/>
                <w:szCs w:val="16"/>
              </w:rPr>
            </w:pPr>
            <w:r>
              <w:rPr>
                <w:b/>
                <w:sz w:val="16"/>
                <w:szCs w:val="16"/>
              </w:rPr>
              <w:t>E</w:t>
            </w:r>
            <w:r w:rsidRPr="00CF6EA5">
              <w:rPr>
                <w:b/>
                <w:sz w:val="16"/>
                <w:szCs w:val="16"/>
              </w:rPr>
              <w:t>xpenditure per EGM</w:t>
            </w:r>
          </w:p>
        </w:tc>
        <w:tc>
          <w:tcPr>
            <w:tcW w:w="1024" w:type="dxa"/>
            <w:tcBorders>
              <w:top w:val="single" w:sz="4" w:space="0" w:color="auto"/>
              <w:bottom w:val="single" w:sz="4" w:space="0" w:color="auto"/>
            </w:tcBorders>
          </w:tcPr>
          <w:p w14:paraId="6E4BCD51" w14:textId="77777777" w:rsidR="00661DE4" w:rsidRPr="00E57E44" w:rsidRDefault="00661DE4" w:rsidP="00661DE4">
            <w:pPr>
              <w:rPr>
                <w:b/>
                <w:bCs/>
                <w:sz w:val="16"/>
                <w:szCs w:val="16"/>
              </w:rPr>
            </w:pPr>
            <w:r>
              <w:rPr>
                <w:b/>
                <w:bCs/>
                <w:sz w:val="16"/>
                <w:szCs w:val="16"/>
              </w:rPr>
              <w:t>Expenditure c</w:t>
            </w:r>
            <w:r w:rsidRPr="00E57E44">
              <w:rPr>
                <w:b/>
                <w:bCs/>
                <w:sz w:val="16"/>
                <w:szCs w:val="16"/>
              </w:rPr>
              <w:t>hange from 2012/13 to 2016/17</w:t>
            </w:r>
          </w:p>
        </w:tc>
      </w:tr>
      <w:tr w:rsidR="00661DE4" w:rsidRPr="00CF6EA5" w14:paraId="0E7A44F6" w14:textId="77777777" w:rsidTr="00661DE4">
        <w:tc>
          <w:tcPr>
            <w:tcW w:w="2268" w:type="dxa"/>
            <w:tcBorders>
              <w:top w:val="single" w:sz="4" w:space="0" w:color="auto"/>
            </w:tcBorders>
            <w:noWrap/>
            <w:hideMark/>
          </w:tcPr>
          <w:p w14:paraId="2D256E8D" w14:textId="77777777" w:rsidR="00661DE4" w:rsidRPr="00CF6EA5" w:rsidRDefault="00661DE4" w:rsidP="00661DE4">
            <w:pPr>
              <w:rPr>
                <w:sz w:val="16"/>
                <w:szCs w:val="16"/>
              </w:rPr>
            </w:pPr>
            <w:r w:rsidRPr="00CF6EA5">
              <w:rPr>
                <w:sz w:val="16"/>
                <w:szCs w:val="16"/>
              </w:rPr>
              <w:t>Werribee Plaza Tavern</w:t>
            </w:r>
          </w:p>
        </w:tc>
        <w:tc>
          <w:tcPr>
            <w:tcW w:w="644" w:type="dxa"/>
            <w:tcBorders>
              <w:top w:val="single" w:sz="4" w:space="0" w:color="auto"/>
            </w:tcBorders>
            <w:noWrap/>
            <w:hideMark/>
          </w:tcPr>
          <w:p w14:paraId="100EDAE3" w14:textId="77777777" w:rsidR="00661DE4" w:rsidRPr="00CF6EA5" w:rsidRDefault="00661DE4" w:rsidP="00661DE4">
            <w:pPr>
              <w:rPr>
                <w:sz w:val="16"/>
                <w:szCs w:val="16"/>
              </w:rPr>
            </w:pPr>
            <w:r w:rsidRPr="00CF6EA5">
              <w:rPr>
                <w:sz w:val="16"/>
                <w:szCs w:val="16"/>
              </w:rPr>
              <w:t>Hotel</w:t>
            </w:r>
          </w:p>
        </w:tc>
        <w:tc>
          <w:tcPr>
            <w:tcW w:w="662" w:type="dxa"/>
            <w:tcBorders>
              <w:top w:val="single" w:sz="4" w:space="0" w:color="auto"/>
            </w:tcBorders>
          </w:tcPr>
          <w:p w14:paraId="24EFEAC4" w14:textId="77777777" w:rsidR="00661DE4" w:rsidRPr="00CF6EA5" w:rsidRDefault="00661DE4" w:rsidP="00661DE4">
            <w:pPr>
              <w:rPr>
                <w:sz w:val="16"/>
                <w:szCs w:val="16"/>
              </w:rPr>
            </w:pPr>
            <w:r w:rsidRPr="00CF6EA5">
              <w:rPr>
                <w:sz w:val="16"/>
                <w:szCs w:val="16"/>
              </w:rPr>
              <w:t>80</w:t>
            </w:r>
          </w:p>
        </w:tc>
        <w:tc>
          <w:tcPr>
            <w:tcW w:w="1427" w:type="dxa"/>
            <w:tcBorders>
              <w:top w:val="single" w:sz="4" w:space="0" w:color="auto"/>
            </w:tcBorders>
            <w:noWrap/>
            <w:hideMark/>
          </w:tcPr>
          <w:p w14:paraId="230E32CD" w14:textId="77777777" w:rsidR="00661DE4" w:rsidRPr="00CF6EA5" w:rsidRDefault="00661DE4" w:rsidP="00661DE4">
            <w:pPr>
              <w:rPr>
                <w:sz w:val="16"/>
                <w:szCs w:val="16"/>
              </w:rPr>
            </w:pPr>
            <w:r w:rsidRPr="00CF6EA5">
              <w:rPr>
                <w:sz w:val="16"/>
                <w:szCs w:val="16"/>
              </w:rPr>
              <w:t>Hoppers Crossing</w:t>
            </w:r>
          </w:p>
        </w:tc>
        <w:tc>
          <w:tcPr>
            <w:tcW w:w="1228" w:type="dxa"/>
            <w:tcBorders>
              <w:top w:val="single" w:sz="4" w:space="0" w:color="auto"/>
            </w:tcBorders>
            <w:noWrap/>
            <w:hideMark/>
          </w:tcPr>
          <w:p w14:paraId="72BFB4E4" w14:textId="77777777" w:rsidR="00661DE4" w:rsidRPr="00CF6EA5" w:rsidRDefault="00661DE4" w:rsidP="00661DE4">
            <w:pPr>
              <w:rPr>
                <w:sz w:val="16"/>
                <w:szCs w:val="16"/>
              </w:rPr>
            </w:pPr>
            <w:r w:rsidRPr="00CF6EA5">
              <w:rPr>
                <w:sz w:val="16"/>
                <w:szCs w:val="16"/>
              </w:rPr>
              <w:t>$12,848,444</w:t>
            </w:r>
          </w:p>
        </w:tc>
        <w:tc>
          <w:tcPr>
            <w:tcW w:w="1027" w:type="dxa"/>
            <w:tcBorders>
              <w:top w:val="single" w:sz="4" w:space="0" w:color="auto"/>
            </w:tcBorders>
          </w:tcPr>
          <w:p w14:paraId="3F8B878A" w14:textId="77777777" w:rsidR="00661DE4" w:rsidRPr="00CF6EA5" w:rsidRDefault="00661DE4" w:rsidP="00661DE4">
            <w:pPr>
              <w:rPr>
                <w:sz w:val="16"/>
                <w:szCs w:val="16"/>
              </w:rPr>
            </w:pPr>
            <w:r w:rsidRPr="00CF6EA5">
              <w:rPr>
                <w:sz w:val="16"/>
              </w:rPr>
              <w:t>$160,605.55</w:t>
            </w:r>
          </w:p>
        </w:tc>
        <w:tc>
          <w:tcPr>
            <w:tcW w:w="1024" w:type="dxa"/>
            <w:tcBorders>
              <w:top w:val="single" w:sz="4" w:space="0" w:color="auto"/>
            </w:tcBorders>
          </w:tcPr>
          <w:p w14:paraId="66DB8495" w14:textId="77777777" w:rsidR="00661DE4" w:rsidRPr="00E57E44" w:rsidRDefault="00661DE4" w:rsidP="00661DE4">
            <w:pPr>
              <w:rPr>
                <w:sz w:val="16"/>
                <w:szCs w:val="16"/>
              </w:rPr>
            </w:pPr>
            <w:r w:rsidRPr="00E57E44">
              <w:rPr>
                <w:sz w:val="16"/>
                <w:szCs w:val="16"/>
              </w:rPr>
              <w:t>-35.49%</w:t>
            </w:r>
          </w:p>
        </w:tc>
      </w:tr>
      <w:tr w:rsidR="00661DE4" w:rsidRPr="00CF6EA5" w14:paraId="5E3294FA" w14:textId="77777777" w:rsidTr="00661DE4">
        <w:tc>
          <w:tcPr>
            <w:tcW w:w="2268" w:type="dxa"/>
            <w:noWrap/>
            <w:hideMark/>
          </w:tcPr>
          <w:p w14:paraId="03B45C60" w14:textId="77777777" w:rsidR="00661DE4" w:rsidRPr="00CF6EA5" w:rsidRDefault="00661DE4" w:rsidP="00661DE4">
            <w:pPr>
              <w:rPr>
                <w:sz w:val="16"/>
                <w:szCs w:val="16"/>
              </w:rPr>
            </w:pPr>
            <w:r w:rsidRPr="00CF6EA5">
              <w:rPr>
                <w:sz w:val="16"/>
                <w:szCs w:val="16"/>
              </w:rPr>
              <w:t>Com</w:t>
            </w:r>
            <w:r>
              <w:rPr>
                <w:sz w:val="16"/>
                <w:szCs w:val="16"/>
              </w:rPr>
              <w:t>m</w:t>
            </w:r>
            <w:r w:rsidRPr="00CF6EA5">
              <w:rPr>
                <w:sz w:val="16"/>
                <w:szCs w:val="16"/>
              </w:rPr>
              <w:t>ercial Taverner</w:t>
            </w:r>
          </w:p>
        </w:tc>
        <w:tc>
          <w:tcPr>
            <w:tcW w:w="644" w:type="dxa"/>
            <w:noWrap/>
            <w:hideMark/>
          </w:tcPr>
          <w:p w14:paraId="39487B88" w14:textId="77777777" w:rsidR="00661DE4" w:rsidRPr="00CF6EA5" w:rsidRDefault="00661DE4" w:rsidP="00661DE4">
            <w:pPr>
              <w:rPr>
                <w:sz w:val="16"/>
                <w:szCs w:val="16"/>
              </w:rPr>
            </w:pPr>
            <w:r w:rsidRPr="00CF6EA5">
              <w:rPr>
                <w:sz w:val="16"/>
                <w:szCs w:val="16"/>
              </w:rPr>
              <w:t>Hotel</w:t>
            </w:r>
          </w:p>
        </w:tc>
        <w:tc>
          <w:tcPr>
            <w:tcW w:w="662" w:type="dxa"/>
          </w:tcPr>
          <w:p w14:paraId="2CB7F423" w14:textId="77777777" w:rsidR="00661DE4" w:rsidRPr="00CF6EA5" w:rsidRDefault="00661DE4" w:rsidP="00661DE4">
            <w:pPr>
              <w:rPr>
                <w:sz w:val="16"/>
                <w:szCs w:val="16"/>
              </w:rPr>
            </w:pPr>
            <w:r w:rsidRPr="00CF6EA5">
              <w:rPr>
                <w:sz w:val="16"/>
                <w:szCs w:val="16"/>
              </w:rPr>
              <w:t>75</w:t>
            </w:r>
          </w:p>
        </w:tc>
        <w:tc>
          <w:tcPr>
            <w:tcW w:w="1427" w:type="dxa"/>
            <w:noWrap/>
            <w:hideMark/>
          </w:tcPr>
          <w:p w14:paraId="281DB37D" w14:textId="77777777" w:rsidR="00661DE4" w:rsidRPr="00CF6EA5" w:rsidRDefault="00661DE4" w:rsidP="00661DE4">
            <w:pPr>
              <w:rPr>
                <w:sz w:val="16"/>
                <w:szCs w:val="16"/>
              </w:rPr>
            </w:pPr>
            <w:r w:rsidRPr="00CF6EA5">
              <w:rPr>
                <w:sz w:val="16"/>
                <w:szCs w:val="16"/>
              </w:rPr>
              <w:t>Werribee</w:t>
            </w:r>
          </w:p>
        </w:tc>
        <w:tc>
          <w:tcPr>
            <w:tcW w:w="1228" w:type="dxa"/>
            <w:noWrap/>
            <w:hideMark/>
          </w:tcPr>
          <w:p w14:paraId="167B94E9" w14:textId="77777777" w:rsidR="00661DE4" w:rsidRPr="00CF6EA5" w:rsidRDefault="00661DE4" w:rsidP="00661DE4">
            <w:pPr>
              <w:rPr>
                <w:sz w:val="16"/>
                <w:szCs w:val="16"/>
              </w:rPr>
            </w:pPr>
            <w:r w:rsidRPr="00CF6EA5">
              <w:rPr>
                <w:sz w:val="16"/>
                <w:szCs w:val="16"/>
              </w:rPr>
              <w:t>$12,490,443</w:t>
            </w:r>
          </w:p>
        </w:tc>
        <w:tc>
          <w:tcPr>
            <w:tcW w:w="1027" w:type="dxa"/>
          </w:tcPr>
          <w:p w14:paraId="1E0C6199" w14:textId="77777777" w:rsidR="00661DE4" w:rsidRPr="00CF6EA5" w:rsidRDefault="00661DE4" w:rsidP="00661DE4">
            <w:pPr>
              <w:rPr>
                <w:sz w:val="16"/>
                <w:szCs w:val="16"/>
              </w:rPr>
            </w:pPr>
            <w:r w:rsidRPr="00CF6EA5">
              <w:rPr>
                <w:sz w:val="16"/>
              </w:rPr>
              <w:t>$166,539.24</w:t>
            </w:r>
          </w:p>
        </w:tc>
        <w:tc>
          <w:tcPr>
            <w:tcW w:w="1024" w:type="dxa"/>
          </w:tcPr>
          <w:p w14:paraId="5C08F1D6" w14:textId="77777777" w:rsidR="00661DE4" w:rsidRPr="00E57E44" w:rsidRDefault="00661DE4" w:rsidP="00661DE4">
            <w:pPr>
              <w:rPr>
                <w:sz w:val="16"/>
                <w:szCs w:val="16"/>
              </w:rPr>
            </w:pPr>
            <w:r w:rsidRPr="00E57E44">
              <w:rPr>
                <w:sz w:val="16"/>
                <w:szCs w:val="16"/>
              </w:rPr>
              <w:t>-7.91%</w:t>
            </w:r>
          </w:p>
        </w:tc>
      </w:tr>
      <w:tr w:rsidR="00661DE4" w:rsidRPr="00CF6EA5" w14:paraId="3821F166" w14:textId="77777777" w:rsidTr="00661DE4">
        <w:tc>
          <w:tcPr>
            <w:tcW w:w="2268" w:type="dxa"/>
            <w:noWrap/>
            <w:hideMark/>
          </w:tcPr>
          <w:p w14:paraId="558A2CC9" w14:textId="77777777" w:rsidR="00661DE4" w:rsidRPr="00CF6EA5" w:rsidRDefault="00661DE4" w:rsidP="00661DE4">
            <w:pPr>
              <w:rPr>
                <w:sz w:val="16"/>
                <w:szCs w:val="16"/>
              </w:rPr>
            </w:pPr>
            <w:r w:rsidRPr="00CF6EA5">
              <w:rPr>
                <w:sz w:val="16"/>
                <w:szCs w:val="16"/>
              </w:rPr>
              <w:t>The Tigers Clubhouse</w:t>
            </w:r>
          </w:p>
        </w:tc>
        <w:tc>
          <w:tcPr>
            <w:tcW w:w="644" w:type="dxa"/>
            <w:noWrap/>
            <w:hideMark/>
          </w:tcPr>
          <w:p w14:paraId="30E4FF6D" w14:textId="77777777" w:rsidR="00661DE4" w:rsidRPr="00CF6EA5" w:rsidRDefault="00661DE4" w:rsidP="00661DE4">
            <w:pPr>
              <w:rPr>
                <w:sz w:val="16"/>
                <w:szCs w:val="16"/>
              </w:rPr>
            </w:pPr>
            <w:r w:rsidRPr="00CF6EA5">
              <w:rPr>
                <w:sz w:val="16"/>
                <w:szCs w:val="16"/>
              </w:rPr>
              <w:t>Club</w:t>
            </w:r>
          </w:p>
        </w:tc>
        <w:tc>
          <w:tcPr>
            <w:tcW w:w="662" w:type="dxa"/>
          </w:tcPr>
          <w:p w14:paraId="5C27BB5B" w14:textId="77777777" w:rsidR="00661DE4" w:rsidRPr="00CF6EA5" w:rsidRDefault="00661DE4" w:rsidP="00661DE4">
            <w:pPr>
              <w:rPr>
                <w:sz w:val="16"/>
                <w:szCs w:val="16"/>
              </w:rPr>
            </w:pPr>
            <w:r w:rsidRPr="00CF6EA5">
              <w:rPr>
                <w:sz w:val="16"/>
                <w:szCs w:val="16"/>
              </w:rPr>
              <w:t>75</w:t>
            </w:r>
          </w:p>
        </w:tc>
        <w:tc>
          <w:tcPr>
            <w:tcW w:w="1427" w:type="dxa"/>
            <w:noWrap/>
            <w:hideMark/>
          </w:tcPr>
          <w:p w14:paraId="7B4B8C30" w14:textId="77777777" w:rsidR="00661DE4" w:rsidRPr="00CF6EA5" w:rsidRDefault="00661DE4" w:rsidP="00661DE4">
            <w:pPr>
              <w:rPr>
                <w:sz w:val="16"/>
                <w:szCs w:val="16"/>
              </w:rPr>
            </w:pPr>
            <w:r w:rsidRPr="00CF6EA5">
              <w:rPr>
                <w:sz w:val="16"/>
                <w:szCs w:val="16"/>
              </w:rPr>
              <w:t>Hoppers Crossing</w:t>
            </w:r>
          </w:p>
        </w:tc>
        <w:tc>
          <w:tcPr>
            <w:tcW w:w="1228" w:type="dxa"/>
            <w:noWrap/>
            <w:hideMark/>
          </w:tcPr>
          <w:p w14:paraId="1C4E107D" w14:textId="77777777" w:rsidR="00661DE4" w:rsidRPr="00CF6EA5" w:rsidRDefault="00661DE4" w:rsidP="00661DE4">
            <w:pPr>
              <w:rPr>
                <w:sz w:val="16"/>
                <w:szCs w:val="16"/>
              </w:rPr>
            </w:pPr>
            <w:r w:rsidRPr="00CF6EA5">
              <w:rPr>
                <w:sz w:val="16"/>
                <w:szCs w:val="16"/>
              </w:rPr>
              <w:t>$10,494,069</w:t>
            </w:r>
          </w:p>
        </w:tc>
        <w:tc>
          <w:tcPr>
            <w:tcW w:w="1027" w:type="dxa"/>
          </w:tcPr>
          <w:p w14:paraId="79DB5968" w14:textId="77777777" w:rsidR="00661DE4" w:rsidRPr="00CF6EA5" w:rsidRDefault="00661DE4" w:rsidP="00661DE4">
            <w:pPr>
              <w:rPr>
                <w:sz w:val="16"/>
                <w:szCs w:val="16"/>
              </w:rPr>
            </w:pPr>
            <w:r w:rsidRPr="00CF6EA5">
              <w:rPr>
                <w:sz w:val="16"/>
              </w:rPr>
              <w:t>$139,920.92</w:t>
            </w:r>
          </w:p>
        </w:tc>
        <w:tc>
          <w:tcPr>
            <w:tcW w:w="1024" w:type="dxa"/>
          </w:tcPr>
          <w:p w14:paraId="6F01EE5A" w14:textId="77777777" w:rsidR="00661DE4" w:rsidRPr="00E57E44" w:rsidRDefault="00661DE4" w:rsidP="00661DE4">
            <w:pPr>
              <w:rPr>
                <w:sz w:val="16"/>
                <w:szCs w:val="16"/>
              </w:rPr>
            </w:pPr>
            <w:r w:rsidRPr="00E57E44">
              <w:rPr>
                <w:sz w:val="16"/>
                <w:szCs w:val="16"/>
              </w:rPr>
              <w:t>13.95%</w:t>
            </w:r>
          </w:p>
        </w:tc>
      </w:tr>
      <w:tr w:rsidR="00661DE4" w:rsidRPr="00CF6EA5" w14:paraId="7E60B9ED" w14:textId="77777777" w:rsidTr="00661DE4">
        <w:tc>
          <w:tcPr>
            <w:tcW w:w="2268" w:type="dxa"/>
            <w:noWrap/>
            <w:hideMark/>
          </w:tcPr>
          <w:p w14:paraId="0936B5E4" w14:textId="77777777" w:rsidR="00661DE4" w:rsidRPr="00CF6EA5" w:rsidRDefault="00661DE4" w:rsidP="00661DE4">
            <w:pPr>
              <w:rPr>
                <w:sz w:val="16"/>
                <w:szCs w:val="16"/>
              </w:rPr>
            </w:pPr>
            <w:r>
              <w:rPr>
                <w:sz w:val="16"/>
                <w:szCs w:val="16"/>
              </w:rPr>
              <w:t>Sanctu</w:t>
            </w:r>
            <w:r w:rsidRPr="00CF6EA5">
              <w:rPr>
                <w:sz w:val="16"/>
                <w:szCs w:val="16"/>
              </w:rPr>
              <w:t>a</w:t>
            </w:r>
            <w:r>
              <w:rPr>
                <w:sz w:val="16"/>
                <w:szCs w:val="16"/>
              </w:rPr>
              <w:t>r</w:t>
            </w:r>
            <w:r w:rsidRPr="00CF6EA5">
              <w:rPr>
                <w:sz w:val="16"/>
                <w:szCs w:val="16"/>
              </w:rPr>
              <w:t>y Lakes Hotel</w:t>
            </w:r>
          </w:p>
        </w:tc>
        <w:tc>
          <w:tcPr>
            <w:tcW w:w="644" w:type="dxa"/>
            <w:noWrap/>
            <w:hideMark/>
          </w:tcPr>
          <w:p w14:paraId="12ECAB85" w14:textId="77777777" w:rsidR="00661DE4" w:rsidRPr="00CF6EA5" w:rsidRDefault="00661DE4" w:rsidP="00661DE4">
            <w:pPr>
              <w:rPr>
                <w:sz w:val="16"/>
                <w:szCs w:val="16"/>
              </w:rPr>
            </w:pPr>
            <w:r w:rsidRPr="00CF6EA5">
              <w:rPr>
                <w:sz w:val="16"/>
                <w:szCs w:val="16"/>
              </w:rPr>
              <w:t>Hotel</w:t>
            </w:r>
          </w:p>
        </w:tc>
        <w:tc>
          <w:tcPr>
            <w:tcW w:w="662" w:type="dxa"/>
          </w:tcPr>
          <w:p w14:paraId="1C7CCFEE" w14:textId="77777777" w:rsidR="00661DE4" w:rsidRPr="00CF6EA5" w:rsidRDefault="00661DE4" w:rsidP="00661DE4">
            <w:pPr>
              <w:rPr>
                <w:sz w:val="16"/>
                <w:szCs w:val="16"/>
              </w:rPr>
            </w:pPr>
            <w:r w:rsidRPr="00CF6EA5">
              <w:rPr>
                <w:sz w:val="16"/>
                <w:szCs w:val="16"/>
              </w:rPr>
              <w:t>70</w:t>
            </w:r>
          </w:p>
        </w:tc>
        <w:tc>
          <w:tcPr>
            <w:tcW w:w="1427" w:type="dxa"/>
            <w:noWrap/>
            <w:hideMark/>
          </w:tcPr>
          <w:p w14:paraId="7B41A34A" w14:textId="77777777" w:rsidR="00661DE4" w:rsidRPr="00CF6EA5" w:rsidRDefault="00661DE4" w:rsidP="00661DE4">
            <w:pPr>
              <w:rPr>
                <w:sz w:val="16"/>
                <w:szCs w:val="16"/>
              </w:rPr>
            </w:pPr>
            <w:r w:rsidRPr="00CF6EA5">
              <w:rPr>
                <w:sz w:val="16"/>
                <w:szCs w:val="16"/>
              </w:rPr>
              <w:t>Point Cook</w:t>
            </w:r>
          </w:p>
        </w:tc>
        <w:tc>
          <w:tcPr>
            <w:tcW w:w="1228" w:type="dxa"/>
            <w:noWrap/>
            <w:hideMark/>
          </w:tcPr>
          <w:p w14:paraId="2022592D" w14:textId="77777777" w:rsidR="00661DE4" w:rsidRPr="00CF6EA5" w:rsidRDefault="00661DE4" w:rsidP="00661DE4">
            <w:pPr>
              <w:rPr>
                <w:sz w:val="16"/>
                <w:szCs w:val="16"/>
              </w:rPr>
            </w:pPr>
            <w:r w:rsidRPr="00CF6EA5">
              <w:rPr>
                <w:sz w:val="16"/>
                <w:szCs w:val="16"/>
              </w:rPr>
              <w:t>$9,468,177</w:t>
            </w:r>
          </w:p>
        </w:tc>
        <w:tc>
          <w:tcPr>
            <w:tcW w:w="1027" w:type="dxa"/>
          </w:tcPr>
          <w:p w14:paraId="60C3E099" w14:textId="77777777" w:rsidR="00661DE4" w:rsidRPr="00CF6EA5" w:rsidRDefault="00661DE4" w:rsidP="00661DE4">
            <w:pPr>
              <w:rPr>
                <w:sz w:val="16"/>
                <w:szCs w:val="16"/>
              </w:rPr>
            </w:pPr>
            <w:r w:rsidRPr="00CF6EA5">
              <w:rPr>
                <w:sz w:val="16"/>
              </w:rPr>
              <w:t>$135,259.67</w:t>
            </w:r>
          </w:p>
        </w:tc>
        <w:tc>
          <w:tcPr>
            <w:tcW w:w="1024" w:type="dxa"/>
          </w:tcPr>
          <w:p w14:paraId="558C31D6" w14:textId="77777777" w:rsidR="00661DE4" w:rsidRPr="00E57E44" w:rsidRDefault="00661DE4" w:rsidP="00661DE4">
            <w:pPr>
              <w:rPr>
                <w:sz w:val="16"/>
                <w:szCs w:val="16"/>
              </w:rPr>
            </w:pPr>
            <w:r w:rsidRPr="00E57E44">
              <w:rPr>
                <w:sz w:val="16"/>
                <w:szCs w:val="16"/>
              </w:rPr>
              <w:t>152.65%</w:t>
            </w:r>
          </w:p>
        </w:tc>
      </w:tr>
      <w:tr w:rsidR="00661DE4" w:rsidRPr="00CF6EA5" w14:paraId="71F1BA7D" w14:textId="77777777" w:rsidTr="00661DE4">
        <w:tc>
          <w:tcPr>
            <w:tcW w:w="2268" w:type="dxa"/>
            <w:noWrap/>
            <w:hideMark/>
          </w:tcPr>
          <w:p w14:paraId="5FC9BB79" w14:textId="77777777" w:rsidR="00661DE4" w:rsidRPr="00CF6EA5" w:rsidRDefault="00661DE4" w:rsidP="00661DE4">
            <w:pPr>
              <w:rPr>
                <w:sz w:val="16"/>
                <w:szCs w:val="16"/>
              </w:rPr>
            </w:pPr>
            <w:r w:rsidRPr="00CF6EA5">
              <w:rPr>
                <w:sz w:val="16"/>
                <w:szCs w:val="16"/>
              </w:rPr>
              <w:t>Hotel 520 on Sayers</w:t>
            </w:r>
          </w:p>
        </w:tc>
        <w:tc>
          <w:tcPr>
            <w:tcW w:w="644" w:type="dxa"/>
            <w:noWrap/>
            <w:hideMark/>
          </w:tcPr>
          <w:p w14:paraId="5929ECE5" w14:textId="77777777" w:rsidR="00661DE4" w:rsidRPr="00CF6EA5" w:rsidRDefault="00661DE4" w:rsidP="00661DE4">
            <w:pPr>
              <w:rPr>
                <w:sz w:val="16"/>
                <w:szCs w:val="16"/>
              </w:rPr>
            </w:pPr>
            <w:r w:rsidRPr="00CF6EA5">
              <w:rPr>
                <w:sz w:val="16"/>
                <w:szCs w:val="16"/>
              </w:rPr>
              <w:t>Hotel</w:t>
            </w:r>
          </w:p>
        </w:tc>
        <w:tc>
          <w:tcPr>
            <w:tcW w:w="662" w:type="dxa"/>
          </w:tcPr>
          <w:p w14:paraId="3871E229" w14:textId="77777777" w:rsidR="00661DE4" w:rsidRPr="00CF6EA5" w:rsidRDefault="00661DE4" w:rsidP="00661DE4">
            <w:pPr>
              <w:rPr>
                <w:sz w:val="16"/>
                <w:szCs w:val="16"/>
              </w:rPr>
            </w:pPr>
            <w:r w:rsidRPr="00CF6EA5">
              <w:rPr>
                <w:sz w:val="16"/>
                <w:szCs w:val="16"/>
              </w:rPr>
              <w:t>65</w:t>
            </w:r>
          </w:p>
        </w:tc>
        <w:tc>
          <w:tcPr>
            <w:tcW w:w="1427" w:type="dxa"/>
            <w:noWrap/>
            <w:hideMark/>
          </w:tcPr>
          <w:p w14:paraId="03FE17FD" w14:textId="77777777" w:rsidR="00661DE4" w:rsidRPr="00CF6EA5" w:rsidRDefault="00661DE4" w:rsidP="00661DE4">
            <w:pPr>
              <w:rPr>
                <w:sz w:val="16"/>
                <w:szCs w:val="16"/>
              </w:rPr>
            </w:pPr>
            <w:r w:rsidRPr="00CF6EA5">
              <w:rPr>
                <w:sz w:val="16"/>
                <w:szCs w:val="16"/>
              </w:rPr>
              <w:t>Tarneit</w:t>
            </w:r>
          </w:p>
        </w:tc>
        <w:tc>
          <w:tcPr>
            <w:tcW w:w="1228" w:type="dxa"/>
            <w:noWrap/>
            <w:hideMark/>
          </w:tcPr>
          <w:p w14:paraId="45EAF743" w14:textId="77777777" w:rsidR="00661DE4" w:rsidRPr="00CF6EA5" w:rsidRDefault="00661DE4" w:rsidP="00661DE4">
            <w:pPr>
              <w:rPr>
                <w:sz w:val="16"/>
                <w:szCs w:val="16"/>
              </w:rPr>
            </w:pPr>
            <w:r w:rsidRPr="00CF6EA5">
              <w:rPr>
                <w:sz w:val="16"/>
                <w:szCs w:val="16"/>
              </w:rPr>
              <w:t>$9,168,318</w:t>
            </w:r>
          </w:p>
        </w:tc>
        <w:tc>
          <w:tcPr>
            <w:tcW w:w="1027" w:type="dxa"/>
          </w:tcPr>
          <w:p w14:paraId="621CA193" w14:textId="77777777" w:rsidR="00661DE4" w:rsidRPr="00CF6EA5" w:rsidRDefault="00661DE4" w:rsidP="00661DE4">
            <w:pPr>
              <w:rPr>
                <w:sz w:val="16"/>
                <w:szCs w:val="16"/>
              </w:rPr>
            </w:pPr>
            <w:r w:rsidRPr="00CF6EA5">
              <w:rPr>
                <w:sz w:val="16"/>
              </w:rPr>
              <w:t>$141,051.05</w:t>
            </w:r>
          </w:p>
        </w:tc>
        <w:tc>
          <w:tcPr>
            <w:tcW w:w="1024" w:type="dxa"/>
          </w:tcPr>
          <w:p w14:paraId="7F6F753E" w14:textId="77777777" w:rsidR="00661DE4" w:rsidRPr="00E57E44" w:rsidRDefault="00661DE4" w:rsidP="00661DE4">
            <w:pPr>
              <w:rPr>
                <w:sz w:val="16"/>
                <w:szCs w:val="16"/>
              </w:rPr>
            </w:pPr>
            <w:r w:rsidRPr="00E57E44">
              <w:rPr>
                <w:sz w:val="16"/>
                <w:szCs w:val="16"/>
              </w:rPr>
              <w:t>55.83%</w:t>
            </w:r>
          </w:p>
        </w:tc>
      </w:tr>
      <w:tr w:rsidR="00661DE4" w:rsidRPr="00CF6EA5" w14:paraId="5758CBFA" w14:textId="77777777" w:rsidTr="00661DE4">
        <w:tc>
          <w:tcPr>
            <w:tcW w:w="2268" w:type="dxa"/>
            <w:noWrap/>
            <w:hideMark/>
          </w:tcPr>
          <w:p w14:paraId="618C4E0F" w14:textId="77777777" w:rsidR="00661DE4" w:rsidRPr="00CF6EA5" w:rsidRDefault="00661DE4" w:rsidP="00661DE4">
            <w:pPr>
              <w:rPr>
                <w:sz w:val="16"/>
                <w:szCs w:val="16"/>
              </w:rPr>
            </w:pPr>
            <w:r w:rsidRPr="00CF6EA5">
              <w:rPr>
                <w:sz w:val="16"/>
                <w:szCs w:val="16"/>
              </w:rPr>
              <w:t>Westside Taverner</w:t>
            </w:r>
          </w:p>
        </w:tc>
        <w:tc>
          <w:tcPr>
            <w:tcW w:w="644" w:type="dxa"/>
            <w:noWrap/>
            <w:hideMark/>
          </w:tcPr>
          <w:p w14:paraId="5E9B9101" w14:textId="77777777" w:rsidR="00661DE4" w:rsidRPr="00CF6EA5" w:rsidRDefault="00661DE4" w:rsidP="00661DE4">
            <w:pPr>
              <w:rPr>
                <w:sz w:val="16"/>
                <w:szCs w:val="16"/>
              </w:rPr>
            </w:pPr>
            <w:r w:rsidRPr="00CF6EA5">
              <w:rPr>
                <w:sz w:val="16"/>
                <w:szCs w:val="16"/>
              </w:rPr>
              <w:t>Hotel</w:t>
            </w:r>
          </w:p>
        </w:tc>
        <w:tc>
          <w:tcPr>
            <w:tcW w:w="662" w:type="dxa"/>
          </w:tcPr>
          <w:p w14:paraId="1116C15C" w14:textId="77777777" w:rsidR="00661DE4" w:rsidRPr="00CF6EA5" w:rsidRDefault="00661DE4" w:rsidP="00661DE4">
            <w:pPr>
              <w:rPr>
                <w:sz w:val="16"/>
                <w:szCs w:val="16"/>
              </w:rPr>
            </w:pPr>
            <w:r w:rsidRPr="00CF6EA5">
              <w:rPr>
                <w:sz w:val="16"/>
                <w:szCs w:val="16"/>
              </w:rPr>
              <w:t>70</w:t>
            </w:r>
          </w:p>
        </w:tc>
        <w:tc>
          <w:tcPr>
            <w:tcW w:w="1427" w:type="dxa"/>
            <w:noWrap/>
            <w:hideMark/>
          </w:tcPr>
          <w:p w14:paraId="3104B2C6" w14:textId="77777777" w:rsidR="00661DE4" w:rsidRPr="00CF6EA5" w:rsidRDefault="00661DE4" w:rsidP="00661DE4">
            <w:pPr>
              <w:rPr>
                <w:sz w:val="16"/>
                <w:szCs w:val="16"/>
              </w:rPr>
            </w:pPr>
            <w:r w:rsidRPr="00CF6EA5">
              <w:rPr>
                <w:sz w:val="16"/>
                <w:szCs w:val="16"/>
              </w:rPr>
              <w:t>Laverton North</w:t>
            </w:r>
          </w:p>
        </w:tc>
        <w:tc>
          <w:tcPr>
            <w:tcW w:w="1228" w:type="dxa"/>
            <w:noWrap/>
            <w:hideMark/>
          </w:tcPr>
          <w:p w14:paraId="1C4B334B" w14:textId="77777777" w:rsidR="00661DE4" w:rsidRPr="00CF6EA5" w:rsidRDefault="00661DE4" w:rsidP="00661DE4">
            <w:pPr>
              <w:rPr>
                <w:sz w:val="16"/>
                <w:szCs w:val="16"/>
              </w:rPr>
            </w:pPr>
            <w:r w:rsidRPr="00CF6EA5">
              <w:rPr>
                <w:sz w:val="16"/>
                <w:szCs w:val="16"/>
              </w:rPr>
              <w:t>$8,950,893</w:t>
            </w:r>
          </w:p>
        </w:tc>
        <w:tc>
          <w:tcPr>
            <w:tcW w:w="1027" w:type="dxa"/>
          </w:tcPr>
          <w:p w14:paraId="0BFB842A" w14:textId="77777777" w:rsidR="00661DE4" w:rsidRPr="00CF6EA5" w:rsidRDefault="00661DE4" w:rsidP="00661DE4">
            <w:pPr>
              <w:rPr>
                <w:sz w:val="16"/>
                <w:szCs w:val="16"/>
              </w:rPr>
            </w:pPr>
            <w:r w:rsidRPr="00CF6EA5">
              <w:rPr>
                <w:sz w:val="16"/>
              </w:rPr>
              <w:t>$127,869.90</w:t>
            </w:r>
          </w:p>
        </w:tc>
        <w:tc>
          <w:tcPr>
            <w:tcW w:w="1024" w:type="dxa"/>
          </w:tcPr>
          <w:p w14:paraId="4B09F069" w14:textId="77777777" w:rsidR="00661DE4" w:rsidRPr="00E57E44" w:rsidRDefault="00661DE4" w:rsidP="00661DE4">
            <w:pPr>
              <w:rPr>
                <w:sz w:val="16"/>
                <w:szCs w:val="16"/>
              </w:rPr>
            </w:pPr>
            <w:r w:rsidRPr="00E57E44">
              <w:rPr>
                <w:sz w:val="16"/>
                <w:szCs w:val="16"/>
              </w:rPr>
              <w:t>-18.33%</w:t>
            </w:r>
          </w:p>
        </w:tc>
      </w:tr>
      <w:tr w:rsidR="00661DE4" w:rsidRPr="00CF6EA5" w14:paraId="3CDC0803" w14:textId="77777777" w:rsidTr="00661DE4">
        <w:tc>
          <w:tcPr>
            <w:tcW w:w="2268" w:type="dxa"/>
            <w:noWrap/>
            <w:hideMark/>
          </w:tcPr>
          <w:p w14:paraId="04961BE0" w14:textId="77777777" w:rsidR="00661DE4" w:rsidRPr="00CF6EA5" w:rsidRDefault="00661DE4" w:rsidP="00661DE4">
            <w:pPr>
              <w:rPr>
                <w:sz w:val="16"/>
                <w:szCs w:val="16"/>
              </w:rPr>
            </w:pPr>
            <w:r w:rsidRPr="00CF6EA5">
              <w:rPr>
                <w:sz w:val="16"/>
                <w:szCs w:val="16"/>
              </w:rPr>
              <w:lastRenderedPageBreak/>
              <w:t>Hoppers Crossing Club</w:t>
            </w:r>
          </w:p>
        </w:tc>
        <w:tc>
          <w:tcPr>
            <w:tcW w:w="644" w:type="dxa"/>
            <w:noWrap/>
            <w:hideMark/>
          </w:tcPr>
          <w:p w14:paraId="0DB822FD" w14:textId="77777777" w:rsidR="00661DE4" w:rsidRPr="00CF6EA5" w:rsidRDefault="00661DE4" w:rsidP="00661DE4">
            <w:pPr>
              <w:rPr>
                <w:sz w:val="16"/>
                <w:szCs w:val="16"/>
              </w:rPr>
            </w:pPr>
            <w:r w:rsidRPr="00CF6EA5">
              <w:rPr>
                <w:sz w:val="16"/>
                <w:szCs w:val="16"/>
              </w:rPr>
              <w:t>Club</w:t>
            </w:r>
          </w:p>
        </w:tc>
        <w:tc>
          <w:tcPr>
            <w:tcW w:w="662" w:type="dxa"/>
          </w:tcPr>
          <w:p w14:paraId="6C2309BE" w14:textId="77777777" w:rsidR="00661DE4" w:rsidRPr="00CF6EA5" w:rsidRDefault="00661DE4" w:rsidP="00661DE4">
            <w:pPr>
              <w:rPr>
                <w:sz w:val="16"/>
                <w:szCs w:val="16"/>
              </w:rPr>
            </w:pPr>
            <w:r w:rsidRPr="00CF6EA5">
              <w:rPr>
                <w:sz w:val="16"/>
                <w:szCs w:val="16"/>
              </w:rPr>
              <w:t>91</w:t>
            </w:r>
          </w:p>
        </w:tc>
        <w:tc>
          <w:tcPr>
            <w:tcW w:w="1427" w:type="dxa"/>
            <w:noWrap/>
            <w:hideMark/>
          </w:tcPr>
          <w:p w14:paraId="1739A2F4" w14:textId="77777777" w:rsidR="00661DE4" w:rsidRPr="00CF6EA5" w:rsidRDefault="00661DE4" w:rsidP="00661DE4">
            <w:pPr>
              <w:rPr>
                <w:sz w:val="16"/>
                <w:szCs w:val="16"/>
              </w:rPr>
            </w:pPr>
            <w:r w:rsidRPr="00CF6EA5">
              <w:rPr>
                <w:sz w:val="16"/>
                <w:szCs w:val="16"/>
              </w:rPr>
              <w:t>Hoppers Crossing</w:t>
            </w:r>
          </w:p>
        </w:tc>
        <w:tc>
          <w:tcPr>
            <w:tcW w:w="1228" w:type="dxa"/>
            <w:noWrap/>
            <w:hideMark/>
          </w:tcPr>
          <w:p w14:paraId="192D37E5" w14:textId="77777777" w:rsidR="00661DE4" w:rsidRPr="00CF6EA5" w:rsidRDefault="00661DE4" w:rsidP="00661DE4">
            <w:pPr>
              <w:rPr>
                <w:sz w:val="16"/>
                <w:szCs w:val="16"/>
              </w:rPr>
            </w:pPr>
            <w:r w:rsidRPr="00CF6EA5">
              <w:rPr>
                <w:sz w:val="16"/>
                <w:szCs w:val="16"/>
              </w:rPr>
              <w:t>$6,040,575</w:t>
            </w:r>
          </w:p>
        </w:tc>
        <w:tc>
          <w:tcPr>
            <w:tcW w:w="1027" w:type="dxa"/>
          </w:tcPr>
          <w:p w14:paraId="76C60A14" w14:textId="77777777" w:rsidR="00661DE4" w:rsidRPr="00CF6EA5" w:rsidRDefault="00661DE4" w:rsidP="00661DE4">
            <w:pPr>
              <w:rPr>
                <w:sz w:val="16"/>
                <w:szCs w:val="16"/>
              </w:rPr>
            </w:pPr>
            <w:r w:rsidRPr="00CF6EA5">
              <w:rPr>
                <w:sz w:val="16"/>
              </w:rPr>
              <w:t>$66,379.95</w:t>
            </w:r>
          </w:p>
        </w:tc>
        <w:tc>
          <w:tcPr>
            <w:tcW w:w="1024" w:type="dxa"/>
          </w:tcPr>
          <w:p w14:paraId="267DA2D2" w14:textId="77777777" w:rsidR="00661DE4" w:rsidRPr="00E57E44" w:rsidRDefault="00661DE4" w:rsidP="00661DE4">
            <w:pPr>
              <w:rPr>
                <w:sz w:val="16"/>
                <w:szCs w:val="16"/>
              </w:rPr>
            </w:pPr>
            <w:r w:rsidRPr="00E57E44">
              <w:rPr>
                <w:sz w:val="16"/>
                <w:szCs w:val="16"/>
              </w:rPr>
              <w:t>-20.59%</w:t>
            </w:r>
          </w:p>
        </w:tc>
      </w:tr>
      <w:tr w:rsidR="00661DE4" w:rsidRPr="00CF6EA5" w14:paraId="71519291" w14:textId="77777777" w:rsidTr="00661DE4">
        <w:tc>
          <w:tcPr>
            <w:tcW w:w="2268" w:type="dxa"/>
            <w:noWrap/>
            <w:hideMark/>
          </w:tcPr>
          <w:p w14:paraId="602C3DFE" w14:textId="77777777" w:rsidR="00661DE4" w:rsidRPr="00CF6EA5" w:rsidRDefault="00661DE4" w:rsidP="00661DE4">
            <w:pPr>
              <w:rPr>
                <w:sz w:val="16"/>
                <w:szCs w:val="16"/>
              </w:rPr>
            </w:pPr>
            <w:r w:rsidRPr="00CF6EA5">
              <w:rPr>
                <w:sz w:val="16"/>
                <w:szCs w:val="16"/>
              </w:rPr>
              <w:t>The Phoenix Hotel</w:t>
            </w:r>
          </w:p>
        </w:tc>
        <w:tc>
          <w:tcPr>
            <w:tcW w:w="644" w:type="dxa"/>
            <w:noWrap/>
            <w:hideMark/>
          </w:tcPr>
          <w:p w14:paraId="1C53307D" w14:textId="77777777" w:rsidR="00661DE4" w:rsidRPr="00CF6EA5" w:rsidRDefault="00661DE4" w:rsidP="00661DE4">
            <w:pPr>
              <w:rPr>
                <w:sz w:val="16"/>
                <w:szCs w:val="16"/>
              </w:rPr>
            </w:pPr>
            <w:r w:rsidRPr="00CF6EA5">
              <w:rPr>
                <w:sz w:val="16"/>
                <w:szCs w:val="16"/>
              </w:rPr>
              <w:t>Hotel</w:t>
            </w:r>
          </w:p>
        </w:tc>
        <w:tc>
          <w:tcPr>
            <w:tcW w:w="662" w:type="dxa"/>
          </w:tcPr>
          <w:p w14:paraId="3E77DE83" w14:textId="77777777" w:rsidR="00661DE4" w:rsidRPr="00CF6EA5" w:rsidRDefault="00661DE4" w:rsidP="00661DE4">
            <w:pPr>
              <w:rPr>
                <w:sz w:val="16"/>
                <w:szCs w:val="16"/>
              </w:rPr>
            </w:pPr>
            <w:r w:rsidRPr="00CF6EA5">
              <w:rPr>
                <w:sz w:val="16"/>
                <w:szCs w:val="16"/>
              </w:rPr>
              <w:t>50</w:t>
            </w:r>
          </w:p>
        </w:tc>
        <w:tc>
          <w:tcPr>
            <w:tcW w:w="1427" w:type="dxa"/>
            <w:noWrap/>
            <w:hideMark/>
          </w:tcPr>
          <w:p w14:paraId="17A01CC9" w14:textId="77777777" w:rsidR="00661DE4" w:rsidRPr="00CF6EA5" w:rsidRDefault="00661DE4" w:rsidP="00661DE4">
            <w:pPr>
              <w:rPr>
                <w:sz w:val="16"/>
                <w:szCs w:val="16"/>
              </w:rPr>
            </w:pPr>
            <w:r w:rsidRPr="00CF6EA5">
              <w:rPr>
                <w:sz w:val="16"/>
                <w:szCs w:val="16"/>
              </w:rPr>
              <w:t>Point Cook</w:t>
            </w:r>
          </w:p>
        </w:tc>
        <w:tc>
          <w:tcPr>
            <w:tcW w:w="1228" w:type="dxa"/>
            <w:noWrap/>
            <w:hideMark/>
          </w:tcPr>
          <w:p w14:paraId="747D12A6" w14:textId="77777777" w:rsidR="00661DE4" w:rsidRPr="00CF6EA5" w:rsidRDefault="00661DE4" w:rsidP="00661DE4">
            <w:pPr>
              <w:rPr>
                <w:sz w:val="16"/>
                <w:szCs w:val="16"/>
              </w:rPr>
            </w:pPr>
            <w:r w:rsidRPr="00CF6EA5">
              <w:rPr>
                <w:sz w:val="16"/>
                <w:szCs w:val="16"/>
              </w:rPr>
              <w:t>$5,702,583</w:t>
            </w:r>
          </w:p>
        </w:tc>
        <w:tc>
          <w:tcPr>
            <w:tcW w:w="1027" w:type="dxa"/>
          </w:tcPr>
          <w:p w14:paraId="7D415D04" w14:textId="77777777" w:rsidR="00661DE4" w:rsidRPr="00CF6EA5" w:rsidRDefault="00661DE4" w:rsidP="00661DE4">
            <w:pPr>
              <w:rPr>
                <w:sz w:val="16"/>
                <w:szCs w:val="16"/>
              </w:rPr>
            </w:pPr>
            <w:r w:rsidRPr="00CF6EA5">
              <w:rPr>
                <w:sz w:val="16"/>
              </w:rPr>
              <w:t>$114,051.66</w:t>
            </w:r>
          </w:p>
        </w:tc>
        <w:tc>
          <w:tcPr>
            <w:tcW w:w="1024" w:type="dxa"/>
          </w:tcPr>
          <w:p w14:paraId="4F9A6640" w14:textId="77777777" w:rsidR="00661DE4" w:rsidRPr="00E57E44" w:rsidRDefault="00661DE4" w:rsidP="00661DE4">
            <w:pPr>
              <w:rPr>
                <w:sz w:val="16"/>
                <w:szCs w:val="16"/>
              </w:rPr>
            </w:pPr>
            <w:r w:rsidRPr="00E57E44">
              <w:rPr>
                <w:sz w:val="16"/>
                <w:szCs w:val="16"/>
              </w:rPr>
              <w:t>804.17%</w:t>
            </w:r>
          </w:p>
        </w:tc>
      </w:tr>
      <w:tr w:rsidR="00661DE4" w:rsidRPr="00CF6EA5" w14:paraId="2208FDA3" w14:textId="77777777" w:rsidTr="00661DE4">
        <w:tc>
          <w:tcPr>
            <w:tcW w:w="2268" w:type="dxa"/>
            <w:noWrap/>
            <w:hideMark/>
          </w:tcPr>
          <w:p w14:paraId="6170C567" w14:textId="77777777" w:rsidR="00661DE4" w:rsidRPr="00CF6EA5" w:rsidRDefault="00661DE4" w:rsidP="00661DE4">
            <w:pPr>
              <w:rPr>
                <w:sz w:val="16"/>
                <w:szCs w:val="16"/>
              </w:rPr>
            </w:pPr>
            <w:r w:rsidRPr="00CF6EA5">
              <w:rPr>
                <w:sz w:val="16"/>
                <w:szCs w:val="16"/>
              </w:rPr>
              <w:t>Italian Sports Club of Werribee</w:t>
            </w:r>
          </w:p>
        </w:tc>
        <w:tc>
          <w:tcPr>
            <w:tcW w:w="644" w:type="dxa"/>
            <w:noWrap/>
            <w:hideMark/>
          </w:tcPr>
          <w:p w14:paraId="3E51DCA8" w14:textId="77777777" w:rsidR="00661DE4" w:rsidRPr="00CF6EA5" w:rsidRDefault="00661DE4" w:rsidP="00661DE4">
            <w:pPr>
              <w:rPr>
                <w:sz w:val="16"/>
                <w:szCs w:val="16"/>
              </w:rPr>
            </w:pPr>
            <w:r w:rsidRPr="00CF6EA5">
              <w:rPr>
                <w:sz w:val="16"/>
                <w:szCs w:val="16"/>
              </w:rPr>
              <w:t>Cub</w:t>
            </w:r>
          </w:p>
        </w:tc>
        <w:tc>
          <w:tcPr>
            <w:tcW w:w="662" w:type="dxa"/>
          </w:tcPr>
          <w:p w14:paraId="658AE382" w14:textId="77777777" w:rsidR="00661DE4" w:rsidRPr="00CF6EA5" w:rsidRDefault="00661DE4" w:rsidP="00661DE4">
            <w:pPr>
              <w:rPr>
                <w:sz w:val="16"/>
                <w:szCs w:val="16"/>
              </w:rPr>
            </w:pPr>
            <w:r w:rsidRPr="00CF6EA5">
              <w:rPr>
                <w:sz w:val="16"/>
                <w:szCs w:val="16"/>
              </w:rPr>
              <w:t>70</w:t>
            </w:r>
          </w:p>
        </w:tc>
        <w:tc>
          <w:tcPr>
            <w:tcW w:w="1427" w:type="dxa"/>
            <w:noWrap/>
            <w:hideMark/>
          </w:tcPr>
          <w:p w14:paraId="1C46E133" w14:textId="77777777" w:rsidR="00661DE4" w:rsidRPr="00CF6EA5" w:rsidRDefault="00661DE4" w:rsidP="00661DE4">
            <w:pPr>
              <w:rPr>
                <w:sz w:val="16"/>
                <w:szCs w:val="16"/>
              </w:rPr>
            </w:pPr>
            <w:r w:rsidRPr="00CF6EA5">
              <w:rPr>
                <w:sz w:val="16"/>
                <w:szCs w:val="16"/>
              </w:rPr>
              <w:t>Werribee</w:t>
            </w:r>
          </w:p>
        </w:tc>
        <w:tc>
          <w:tcPr>
            <w:tcW w:w="1228" w:type="dxa"/>
            <w:noWrap/>
            <w:hideMark/>
          </w:tcPr>
          <w:p w14:paraId="663A1560" w14:textId="77777777" w:rsidR="00661DE4" w:rsidRPr="00CF6EA5" w:rsidRDefault="00661DE4" w:rsidP="00661DE4">
            <w:pPr>
              <w:rPr>
                <w:sz w:val="16"/>
                <w:szCs w:val="16"/>
              </w:rPr>
            </w:pPr>
            <w:r w:rsidRPr="00CF6EA5">
              <w:rPr>
                <w:sz w:val="16"/>
                <w:szCs w:val="16"/>
              </w:rPr>
              <w:t>$5,275,078</w:t>
            </w:r>
          </w:p>
        </w:tc>
        <w:tc>
          <w:tcPr>
            <w:tcW w:w="1027" w:type="dxa"/>
          </w:tcPr>
          <w:p w14:paraId="5D52F863" w14:textId="77777777" w:rsidR="00661DE4" w:rsidRPr="00CF6EA5" w:rsidRDefault="00661DE4" w:rsidP="00661DE4">
            <w:pPr>
              <w:rPr>
                <w:sz w:val="16"/>
                <w:szCs w:val="16"/>
              </w:rPr>
            </w:pPr>
            <w:r w:rsidRPr="00CF6EA5">
              <w:rPr>
                <w:sz w:val="16"/>
              </w:rPr>
              <w:t>$75,358.26</w:t>
            </w:r>
          </w:p>
        </w:tc>
        <w:tc>
          <w:tcPr>
            <w:tcW w:w="1024" w:type="dxa"/>
          </w:tcPr>
          <w:p w14:paraId="530FD91D" w14:textId="77777777" w:rsidR="00661DE4" w:rsidRPr="00E57E44" w:rsidRDefault="00661DE4" w:rsidP="00661DE4">
            <w:pPr>
              <w:rPr>
                <w:sz w:val="16"/>
                <w:szCs w:val="16"/>
              </w:rPr>
            </w:pPr>
            <w:r w:rsidRPr="00E57E44">
              <w:rPr>
                <w:sz w:val="16"/>
                <w:szCs w:val="16"/>
              </w:rPr>
              <w:t>10.23%</w:t>
            </w:r>
          </w:p>
        </w:tc>
      </w:tr>
      <w:tr w:rsidR="00661DE4" w:rsidRPr="00CF6EA5" w14:paraId="48710649" w14:textId="77777777" w:rsidTr="00661DE4">
        <w:tc>
          <w:tcPr>
            <w:tcW w:w="2268" w:type="dxa"/>
            <w:noWrap/>
            <w:hideMark/>
          </w:tcPr>
          <w:p w14:paraId="4DF7105C" w14:textId="77777777" w:rsidR="00661DE4" w:rsidRPr="00CF6EA5" w:rsidRDefault="00661DE4" w:rsidP="00661DE4">
            <w:pPr>
              <w:rPr>
                <w:sz w:val="16"/>
                <w:szCs w:val="16"/>
              </w:rPr>
            </w:pPr>
            <w:r w:rsidRPr="00CF6EA5">
              <w:rPr>
                <w:sz w:val="16"/>
                <w:szCs w:val="16"/>
              </w:rPr>
              <w:t>The Brook on Sneydes</w:t>
            </w:r>
          </w:p>
        </w:tc>
        <w:tc>
          <w:tcPr>
            <w:tcW w:w="644" w:type="dxa"/>
            <w:noWrap/>
            <w:hideMark/>
          </w:tcPr>
          <w:p w14:paraId="1A3B7177" w14:textId="77777777" w:rsidR="00661DE4" w:rsidRPr="00CF6EA5" w:rsidRDefault="00661DE4" w:rsidP="00661DE4">
            <w:pPr>
              <w:rPr>
                <w:sz w:val="16"/>
                <w:szCs w:val="16"/>
              </w:rPr>
            </w:pPr>
            <w:r w:rsidRPr="00CF6EA5">
              <w:rPr>
                <w:sz w:val="16"/>
                <w:szCs w:val="16"/>
              </w:rPr>
              <w:t>Club</w:t>
            </w:r>
          </w:p>
        </w:tc>
        <w:tc>
          <w:tcPr>
            <w:tcW w:w="662" w:type="dxa"/>
          </w:tcPr>
          <w:p w14:paraId="757CA61D" w14:textId="77777777" w:rsidR="00661DE4" w:rsidRPr="00CF6EA5" w:rsidRDefault="00661DE4" w:rsidP="00661DE4">
            <w:pPr>
              <w:rPr>
                <w:sz w:val="16"/>
                <w:szCs w:val="16"/>
              </w:rPr>
            </w:pPr>
            <w:r w:rsidRPr="00CF6EA5">
              <w:rPr>
                <w:sz w:val="16"/>
                <w:szCs w:val="16"/>
              </w:rPr>
              <w:t>80</w:t>
            </w:r>
          </w:p>
        </w:tc>
        <w:tc>
          <w:tcPr>
            <w:tcW w:w="1427" w:type="dxa"/>
            <w:noWrap/>
            <w:hideMark/>
          </w:tcPr>
          <w:p w14:paraId="49FD961A" w14:textId="77777777" w:rsidR="00661DE4" w:rsidRPr="00CF6EA5" w:rsidRDefault="00661DE4" w:rsidP="00661DE4">
            <w:pPr>
              <w:rPr>
                <w:sz w:val="16"/>
                <w:szCs w:val="16"/>
              </w:rPr>
            </w:pPr>
            <w:r w:rsidRPr="00CF6EA5">
              <w:rPr>
                <w:sz w:val="16"/>
                <w:szCs w:val="16"/>
              </w:rPr>
              <w:t>Point Cook</w:t>
            </w:r>
          </w:p>
        </w:tc>
        <w:tc>
          <w:tcPr>
            <w:tcW w:w="1228" w:type="dxa"/>
            <w:noWrap/>
            <w:hideMark/>
          </w:tcPr>
          <w:p w14:paraId="20744F1F" w14:textId="77777777" w:rsidR="00661DE4" w:rsidRPr="00CF6EA5" w:rsidRDefault="00661DE4" w:rsidP="00661DE4">
            <w:pPr>
              <w:rPr>
                <w:sz w:val="16"/>
                <w:szCs w:val="16"/>
              </w:rPr>
            </w:pPr>
            <w:r w:rsidRPr="00CF6EA5">
              <w:rPr>
                <w:sz w:val="16"/>
                <w:szCs w:val="16"/>
              </w:rPr>
              <w:t>$5,241,486</w:t>
            </w:r>
          </w:p>
        </w:tc>
        <w:tc>
          <w:tcPr>
            <w:tcW w:w="1027" w:type="dxa"/>
          </w:tcPr>
          <w:p w14:paraId="290C0C6A" w14:textId="77777777" w:rsidR="00661DE4" w:rsidRPr="00CF6EA5" w:rsidRDefault="00661DE4" w:rsidP="00661DE4">
            <w:pPr>
              <w:rPr>
                <w:sz w:val="16"/>
                <w:szCs w:val="16"/>
              </w:rPr>
            </w:pPr>
            <w:r w:rsidRPr="00CF6EA5">
              <w:rPr>
                <w:sz w:val="16"/>
              </w:rPr>
              <w:t>$65,518.58</w:t>
            </w:r>
          </w:p>
        </w:tc>
        <w:tc>
          <w:tcPr>
            <w:tcW w:w="1024" w:type="dxa"/>
          </w:tcPr>
          <w:p w14:paraId="4E45022B" w14:textId="77777777" w:rsidR="00661DE4" w:rsidRPr="00E57E44" w:rsidRDefault="00661DE4" w:rsidP="00661DE4">
            <w:pPr>
              <w:rPr>
                <w:sz w:val="16"/>
                <w:szCs w:val="16"/>
              </w:rPr>
            </w:pPr>
            <w:r w:rsidRPr="00E57E44">
              <w:rPr>
                <w:sz w:val="16"/>
                <w:szCs w:val="16"/>
              </w:rPr>
              <w:t>-15.72%</w:t>
            </w:r>
          </w:p>
        </w:tc>
      </w:tr>
      <w:tr w:rsidR="00661DE4" w:rsidRPr="00CF6EA5" w14:paraId="17766FA1" w14:textId="77777777" w:rsidTr="00661DE4">
        <w:tc>
          <w:tcPr>
            <w:tcW w:w="2268" w:type="dxa"/>
            <w:noWrap/>
            <w:hideMark/>
          </w:tcPr>
          <w:p w14:paraId="330AF01E" w14:textId="77777777" w:rsidR="00661DE4" w:rsidRPr="00CF6EA5" w:rsidRDefault="00661DE4" w:rsidP="00661DE4">
            <w:pPr>
              <w:rPr>
                <w:sz w:val="16"/>
                <w:szCs w:val="16"/>
              </w:rPr>
            </w:pPr>
            <w:r w:rsidRPr="00CF6EA5">
              <w:rPr>
                <w:sz w:val="16"/>
                <w:szCs w:val="16"/>
              </w:rPr>
              <w:t>Hoppers Crossing Sports Club</w:t>
            </w:r>
          </w:p>
        </w:tc>
        <w:tc>
          <w:tcPr>
            <w:tcW w:w="644" w:type="dxa"/>
            <w:noWrap/>
            <w:hideMark/>
          </w:tcPr>
          <w:p w14:paraId="45AA8152" w14:textId="77777777" w:rsidR="00661DE4" w:rsidRPr="00CF6EA5" w:rsidRDefault="00661DE4" w:rsidP="00661DE4">
            <w:pPr>
              <w:rPr>
                <w:sz w:val="16"/>
                <w:szCs w:val="16"/>
              </w:rPr>
            </w:pPr>
            <w:r w:rsidRPr="00CF6EA5">
              <w:rPr>
                <w:sz w:val="16"/>
                <w:szCs w:val="16"/>
              </w:rPr>
              <w:t>Club</w:t>
            </w:r>
          </w:p>
        </w:tc>
        <w:tc>
          <w:tcPr>
            <w:tcW w:w="662" w:type="dxa"/>
          </w:tcPr>
          <w:p w14:paraId="392FF923" w14:textId="77777777" w:rsidR="00661DE4" w:rsidRPr="00CF6EA5" w:rsidRDefault="00661DE4" w:rsidP="00661DE4">
            <w:pPr>
              <w:rPr>
                <w:sz w:val="16"/>
                <w:szCs w:val="16"/>
              </w:rPr>
            </w:pPr>
            <w:r w:rsidRPr="00CF6EA5">
              <w:rPr>
                <w:sz w:val="16"/>
                <w:szCs w:val="16"/>
              </w:rPr>
              <w:t>55</w:t>
            </w:r>
          </w:p>
        </w:tc>
        <w:tc>
          <w:tcPr>
            <w:tcW w:w="1427" w:type="dxa"/>
            <w:noWrap/>
            <w:hideMark/>
          </w:tcPr>
          <w:p w14:paraId="00757F19" w14:textId="77777777" w:rsidR="00661DE4" w:rsidRPr="00CF6EA5" w:rsidRDefault="00661DE4" w:rsidP="00661DE4">
            <w:pPr>
              <w:rPr>
                <w:sz w:val="16"/>
                <w:szCs w:val="16"/>
              </w:rPr>
            </w:pPr>
            <w:r w:rsidRPr="00CF6EA5">
              <w:rPr>
                <w:sz w:val="16"/>
                <w:szCs w:val="16"/>
              </w:rPr>
              <w:t>Hoppers Crossing</w:t>
            </w:r>
          </w:p>
        </w:tc>
        <w:tc>
          <w:tcPr>
            <w:tcW w:w="1228" w:type="dxa"/>
            <w:noWrap/>
            <w:hideMark/>
          </w:tcPr>
          <w:p w14:paraId="36998B38" w14:textId="77777777" w:rsidR="00661DE4" w:rsidRPr="00CF6EA5" w:rsidRDefault="00661DE4" w:rsidP="00661DE4">
            <w:pPr>
              <w:rPr>
                <w:sz w:val="16"/>
                <w:szCs w:val="16"/>
              </w:rPr>
            </w:pPr>
            <w:r w:rsidRPr="00CF6EA5">
              <w:rPr>
                <w:sz w:val="16"/>
                <w:szCs w:val="16"/>
              </w:rPr>
              <w:t>$4,387,518</w:t>
            </w:r>
          </w:p>
        </w:tc>
        <w:tc>
          <w:tcPr>
            <w:tcW w:w="1027" w:type="dxa"/>
          </w:tcPr>
          <w:p w14:paraId="3B7EB278" w14:textId="77777777" w:rsidR="00661DE4" w:rsidRPr="00CF6EA5" w:rsidRDefault="00661DE4" w:rsidP="00661DE4">
            <w:pPr>
              <w:rPr>
                <w:sz w:val="16"/>
                <w:szCs w:val="16"/>
              </w:rPr>
            </w:pPr>
            <w:r w:rsidRPr="00CF6EA5">
              <w:rPr>
                <w:sz w:val="16"/>
              </w:rPr>
              <w:t>$79,773.05</w:t>
            </w:r>
          </w:p>
        </w:tc>
        <w:tc>
          <w:tcPr>
            <w:tcW w:w="1024" w:type="dxa"/>
          </w:tcPr>
          <w:p w14:paraId="069183B5" w14:textId="77777777" w:rsidR="00661DE4" w:rsidRPr="00E57E44" w:rsidRDefault="00661DE4" w:rsidP="00661DE4">
            <w:pPr>
              <w:rPr>
                <w:sz w:val="16"/>
                <w:szCs w:val="16"/>
              </w:rPr>
            </w:pPr>
            <w:r w:rsidRPr="00E57E44">
              <w:rPr>
                <w:sz w:val="16"/>
                <w:szCs w:val="16"/>
              </w:rPr>
              <w:t>15.48%</w:t>
            </w:r>
          </w:p>
        </w:tc>
      </w:tr>
      <w:tr w:rsidR="00661DE4" w:rsidRPr="00CF6EA5" w14:paraId="06C8FCFA" w14:textId="77777777" w:rsidTr="00661DE4">
        <w:tc>
          <w:tcPr>
            <w:tcW w:w="2268" w:type="dxa"/>
            <w:noWrap/>
            <w:hideMark/>
          </w:tcPr>
          <w:p w14:paraId="35A521CC" w14:textId="77777777" w:rsidR="00661DE4" w:rsidRPr="00CF6EA5" w:rsidRDefault="00661DE4" w:rsidP="00661DE4">
            <w:pPr>
              <w:rPr>
                <w:sz w:val="16"/>
                <w:szCs w:val="16"/>
              </w:rPr>
            </w:pPr>
            <w:r w:rsidRPr="00CF6EA5">
              <w:rPr>
                <w:sz w:val="16"/>
                <w:szCs w:val="16"/>
              </w:rPr>
              <w:t>Racecourse Hotel</w:t>
            </w:r>
          </w:p>
        </w:tc>
        <w:tc>
          <w:tcPr>
            <w:tcW w:w="644" w:type="dxa"/>
            <w:noWrap/>
            <w:hideMark/>
          </w:tcPr>
          <w:p w14:paraId="1B0E4C54" w14:textId="77777777" w:rsidR="00661DE4" w:rsidRPr="00CF6EA5" w:rsidRDefault="00661DE4" w:rsidP="00661DE4">
            <w:pPr>
              <w:rPr>
                <w:sz w:val="16"/>
                <w:szCs w:val="16"/>
              </w:rPr>
            </w:pPr>
            <w:r w:rsidRPr="00CF6EA5">
              <w:rPr>
                <w:sz w:val="16"/>
                <w:szCs w:val="16"/>
              </w:rPr>
              <w:t>Hotel</w:t>
            </w:r>
          </w:p>
        </w:tc>
        <w:tc>
          <w:tcPr>
            <w:tcW w:w="662" w:type="dxa"/>
          </w:tcPr>
          <w:p w14:paraId="0E92F55B" w14:textId="77777777" w:rsidR="00661DE4" w:rsidRPr="00CF6EA5" w:rsidRDefault="00661DE4" w:rsidP="00661DE4">
            <w:pPr>
              <w:rPr>
                <w:sz w:val="16"/>
                <w:szCs w:val="16"/>
              </w:rPr>
            </w:pPr>
            <w:r w:rsidRPr="00CF6EA5">
              <w:rPr>
                <w:sz w:val="16"/>
                <w:szCs w:val="16"/>
              </w:rPr>
              <w:t>52</w:t>
            </w:r>
          </w:p>
        </w:tc>
        <w:tc>
          <w:tcPr>
            <w:tcW w:w="1427" w:type="dxa"/>
            <w:noWrap/>
            <w:hideMark/>
          </w:tcPr>
          <w:p w14:paraId="36DB586F" w14:textId="77777777" w:rsidR="00661DE4" w:rsidRPr="00CF6EA5" w:rsidRDefault="00661DE4" w:rsidP="00661DE4">
            <w:pPr>
              <w:rPr>
                <w:sz w:val="16"/>
                <w:szCs w:val="16"/>
              </w:rPr>
            </w:pPr>
            <w:r w:rsidRPr="00CF6EA5">
              <w:rPr>
                <w:sz w:val="16"/>
                <w:szCs w:val="16"/>
              </w:rPr>
              <w:t>Werribee</w:t>
            </w:r>
          </w:p>
        </w:tc>
        <w:tc>
          <w:tcPr>
            <w:tcW w:w="1228" w:type="dxa"/>
            <w:noWrap/>
            <w:hideMark/>
          </w:tcPr>
          <w:p w14:paraId="17DC72E4" w14:textId="77777777" w:rsidR="00661DE4" w:rsidRPr="00CF6EA5" w:rsidRDefault="00661DE4" w:rsidP="00661DE4">
            <w:pPr>
              <w:rPr>
                <w:sz w:val="16"/>
                <w:szCs w:val="16"/>
              </w:rPr>
            </w:pPr>
            <w:r w:rsidRPr="00CF6EA5">
              <w:rPr>
                <w:sz w:val="16"/>
                <w:szCs w:val="16"/>
              </w:rPr>
              <w:t>$4,384,740</w:t>
            </w:r>
          </w:p>
        </w:tc>
        <w:tc>
          <w:tcPr>
            <w:tcW w:w="1027" w:type="dxa"/>
          </w:tcPr>
          <w:p w14:paraId="7F306320" w14:textId="77777777" w:rsidR="00661DE4" w:rsidRPr="00CF6EA5" w:rsidRDefault="00661DE4" w:rsidP="00661DE4">
            <w:pPr>
              <w:rPr>
                <w:sz w:val="16"/>
                <w:szCs w:val="16"/>
              </w:rPr>
            </w:pPr>
            <w:r w:rsidRPr="00CF6EA5">
              <w:rPr>
                <w:sz w:val="16"/>
              </w:rPr>
              <w:t>$84,321.92</w:t>
            </w:r>
          </w:p>
        </w:tc>
        <w:tc>
          <w:tcPr>
            <w:tcW w:w="1024" w:type="dxa"/>
          </w:tcPr>
          <w:p w14:paraId="7E57BBB5" w14:textId="77777777" w:rsidR="00661DE4" w:rsidRPr="00E57E44" w:rsidRDefault="00661DE4" w:rsidP="00661DE4">
            <w:pPr>
              <w:rPr>
                <w:sz w:val="16"/>
                <w:szCs w:val="16"/>
              </w:rPr>
            </w:pPr>
            <w:r w:rsidRPr="00E57E44">
              <w:rPr>
                <w:sz w:val="16"/>
                <w:szCs w:val="16"/>
              </w:rPr>
              <w:t>-13.35%</w:t>
            </w:r>
          </w:p>
        </w:tc>
      </w:tr>
      <w:tr w:rsidR="00661DE4" w:rsidRPr="00CF6EA5" w14:paraId="294121F4" w14:textId="77777777" w:rsidTr="00661DE4">
        <w:tc>
          <w:tcPr>
            <w:tcW w:w="2268" w:type="dxa"/>
            <w:noWrap/>
            <w:hideMark/>
          </w:tcPr>
          <w:p w14:paraId="679DBDC9" w14:textId="77777777" w:rsidR="00661DE4" w:rsidRPr="00CF6EA5" w:rsidRDefault="00661DE4" w:rsidP="00661DE4">
            <w:pPr>
              <w:rPr>
                <w:sz w:val="16"/>
                <w:szCs w:val="16"/>
              </w:rPr>
            </w:pPr>
            <w:r w:rsidRPr="00CF6EA5">
              <w:rPr>
                <w:sz w:val="16"/>
                <w:szCs w:val="16"/>
              </w:rPr>
              <w:t>Werribee RSL</w:t>
            </w:r>
          </w:p>
        </w:tc>
        <w:tc>
          <w:tcPr>
            <w:tcW w:w="644" w:type="dxa"/>
            <w:noWrap/>
            <w:hideMark/>
          </w:tcPr>
          <w:p w14:paraId="2986C65A" w14:textId="77777777" w:rsidR="00661DE4" w:rsidRPr="00CF6EA5" w:rsidRDefault="00661DE4" w:rsidP="00661DE4">
            <w:pPr>
              <w:rPr>
                <w:sz w:val="16"/>
                <w:szCs w:val="16"/>
              </w:rPr>
            </w:pPr>
            <w:r w:rsidRPr="00CF6EA5">
              <w:rPr>
                <w:sz w:val="16"/>
                <w:szCs w:val="16"/>
              </w:rPr>
              <w:t>Club</w:t>
            </w:r>
          </w:p>
        </w:tc>
        <w:tc>
          <w:tcPr>
            <w:tcW w:w="662" w:type="dxa"/>
          </w:tcPr>
          <w:p w14:paraId="3274279D" w14:textId="77777777" w:rsidR="00661DE4" w:rsidRPr="00CF6EA5" w:rsidRDefault="00661DE4" w:rsidP="00661DE4">
            <w:pPr>
              <w:rPr>
                <w:sz w:val="16"/>
                <w:szCs w:val="16"/>
              </w:rPr>
            </w:pPr>
            <w:r w:rsidRPr="00CF6EA5">
              <w:rPr>
                <w:sz w:val="16"/>
                <w:szCs w:val="16"/>
              </w:rPr>
              <w:t>60</w:t>
            </w:r>
          </w:p>
        </w:tc>
        <w:tc>
          <w:tcPr>
            <w:tcW w:w="1427" w:type="dxa"/>
            <w:noWrap/>
            <w:hideMark/>
          </w:tcPr>
          <w:p w14:paraId="2D207F5D" w14:textId="77777777" w:rsidR="00661DE4" w:rsidRPr="00CF6EA5" w:rsidRDefault="00661DE4" w:rsidP="00661DE4">
            <w:pPr>
              <w:rPr>
                <w:sz w:val="16"/>
                <w:szCs w:val="16"/>
              </w:rPr>
            </w:pPr>
            <w:r w:rsidRPr="00CF6EA5">
              <w:rPr>
                <w:sz w:val="16"/>
                <w:szCs w:val="16"/>
              </w:rPr>
              <w:t>Werribee</w:t>
            </w:r>
          </w:p>
        </w:tc>
        <w:tc>
          <w:tcPr>
            <w:tcW w:w="1228" w:type="dxa"/>
            <w:noWrap/>
            <w:hideMark/>
          </w:tcPr>
          <w:p w14:paraId="52C2D7A5" w14:textId="77777777" w:rsidR="00661DE4" w:rsidRPr="00CF6EA5" w:rsidRDefault="00661DE4" w:rsidP="00661DE4">
            <w:pPr>
              <w:rPr>
                <w:sz w:val="16"/>
                <w:szCs w:val="16"/>
              </w:rPr>
            </w:pPr>
            <w:r w:rsidRPr="00CF6EA5">
              <w:rPr>
                <w:sz w:val="16"/>
                <w:szCs w:val="16"/>
              </w:rPr>
              <w:t>$3,308,709</w:t>
            </w:r>
          </w:p>
        </w:tc>
        <w:tc>
          <w:tcPr>
            <w:tcW w:w="1027" w:type="dxa"/>
          </w:tcPr>
          <w:p w14:paraId="17D7AC03" w14:textId="77777777" w:rsidR="00661DE4" w:rsidRPr="00CF6EA5" w:rsidRDefault="00661DE4" w:rsidP="00661DE4">
            <w:pPr>
              <w:rPr>
                <w:sz w:val="16"/>
                <w:szCs w:val="16"/>
              </w:rPr>
            </w:pPr>
            <w:r w:rsidRPr="00CF6EA5">
              <w:rPr>
                <w:sz w:val="16"/>
              </w:rPr>
              <w:t>$55,145.15</w:t>
            </w:r>
          </w:p>
        </w:tc>
        <w:tc>
          <w:tcPr>
            <w:tcW w:w="1024" w:type="dxa"/>
          </w:tcPr>
          <w:p w14:paraId="47EEA51D" w14:textId="77777777" w:rsidR="00661DE4" w:rsidRPr="00E57E44" w:rsidRDefault="00661DE4" w:rsidP="00661DE4">
            <w:pPr>
              <w:rPr>
                <w:sz w:val="16"/>
                <w:szCs w:val="16"/>
              </w:rPr>
            </w:pPr>
            <w:r w:rsidRPr="00E57E44">
              <w:rPr>
                <w:sz w:val="16"/>
                <w:szCs w:val="16"/>
              </w:rPr>
              <w:t>-2.10%</w:t>
            </w:r>
          </w:p>
        </w:tc>
      </w:tr>
      <w:tr w:rsidR="00661DE4" w:rsidRPr="00CF6EA5" w14:paraId="735BB561" w14:textId="77777777" w:rsidTr="00661DE4">
        <w:tc>
          <w:tcPr>
            <w:tcW w:w="2268" w:type="dxa"/>
            <w:noWrap/>
            <w:hideMark/>
          </w:tcPr>
          <w:p w14:paraId="42C04E01" w14:textId="77777777" w:rsidR="00661DE4" w:rsidRPr="00CF6EA5" w:rsidRDefault="00661DE4" w:rsidP="00661DE4">
            <w:pPr>
              <w:rPr>
                <w:i/>
                <w:sz w:val="16"/>
                <w:szCs w:val="16"/>
              </w:rPr>
            </w:pPr>
            <w:r w:rsidRPr="00CF6EA5">
              <w:rPr>
                <w:i/>
                <w:sz w:val="16"/>
                <w:szCs w:val="16"/>
              </w:rPr>
              <w:t>Wyndham total</w:t>
            </w:r>
          </w:p>
        </w:tc>
        <w:tc>
          <w:tcPr>
            <w:tcW w:w="644" w:type="dxa"/>
            <w:noWrap/>
            <w:hideMark/>
          </w:tcPr>
          <w:p w14:paraId="667D5753" w14:textId="77777777" w:rsidR="00661DE4" w:rsidRPr="00CF6EA5" w:rsidRDefault="00661DE4" w:rsidP="00661DE4">
            <w:pPr>
              <w:rPr>
                <w:i/>
                <w:sz w:val="16"/>
                <w:szCs w:val="16"/>
              </w:rPr>
            </w:pPr>
          </w:p>
        </w:tc>
        <w:tc>
          <w:tcPr>
            <w:tcW w:w="662" w:type="dxa"/>
          </w:tcPr>
          <w:p w14:paraId="718BF89F" w14:textId="77777777" w:rsidR="00661DE4" w:rsidRPr="00CF6EA5" w:rsidRDefault="00661DE4" w:rsidP="00661DE4">
            <w:pPr>
              <w:rPr>
                <w:i/>
                <w:sz w:val="16"/>
                <w:szCs w:val="16"/>
              </w:rPr>
            </w:pPr>
            <w:r w:rsidRPr="00CF6EA5">
              <w:rPr>
                <w:i/>
                <w:sz w:val="16"/>
                <w:szCs w:val="16"/>
              </w:rPr>
              <w:t>893</w:t>
            </w:r>
          </w:p>
        </w:tc>
        <w:tc>
          <w:tcPr>
            <w:tcW w:w="1427" w:type="dxa"/>
            <w:noWrap/>
            <w:hideMark/>
          </w:tcPr>
          <w:p w14:paraId="21CDD410" w14:textId="77777777" w:rsidR="00661DE4" w:rsidRPr="00CF6EA5" w:rsidRDefault="00661DE4" w:rsidP="00661DE4">
            <w:pPr>
              <w:rPr>
                <w:i/>
                <w:sz w:val="16"/>
                <w:szCs w:val="16"/>
              </w:rPr>
            </w:pPr>
          </w:p>
        </w:tc>
        <w:tc>
          <w:tcPr>
            <w:tcW w:w="1228" w:type="dxa"/>
            <w:noWrap/>
            <w:hideMark/>
          </w:tcPr>
          <w:p w14:paraId="704D3DA8" w14:textId="77777777" w:rsidR="00661DE4" w:rsidRPr="00CF6EA5" w:rsidRDefault="00661DE4" w:rsidP="00661DE4">
            <w:pPr>
              <w:rPr>
                <w:i/>
                <w:sz w:val="16"/>
                <w:szCs w:val="16"/>
              </w:rPr>
            </w:pPr>
            <w:r w:rsidRPr="00CF6EA5">
              <w:rPr>
                <w:i/>
                <w:sz w:val="16"/>
                <w:szCs w:val="16"/>
              </w:rPr>
              <w:t>$97,761,234</w:t>
            </w:r>
          </w:p>
        </w:tc>
        <w:tc>
          <w:tcPr>
            <w:tcW w:w="1027" w:type="dxa"/>
          </w:tcPr>
          <w:p w14:paraId="5E4339AF" w14:textId="77777777" w:rsidR="00661DE4" w:rsidRPr="00CF6EA5" w:rsidRDefault="00661DE4" w:rsidP="00661DE4">
            <w:pPr>
              <w:rPr>
                <w:i/>
                <w:sz w:val="16"/>
                <w:szCs w:val="16"/>
              </w:rPr>
            </w:pPr>
            <w:r w:rsidRPr="00CF6EA5">
              <w:rPr>
                <w:i/>
                <w:sz w:val="16"/>
              </w:rPr>
              <w:t>$109,475.07</w:t>
            </w:r>
          </w:p>
        </w:tc>
        <w:tc>
          <w:tcPr>
            <w:tcW w:w="1024" w:type="dxa"/>
          </w:tcPr>
          <w:p w14:paraId="5408DEE4" w14:textId="77777777" w:rsidR="00661DE4" w:rsidRPr="00CF6EA5" w:rsidRDefault="00661DE4" w:rsidP="00661DE4">
            <w:pPr>
              <w:rPr>
                <w:i/>
                <w:sz w:val="16"/>
              </w:rPr>
            </w:pPr>
            <w:r>
              <w:rPr>
                <w:i/>
                <w:sz w:val="16"/>
              </w:rPr>
              <w:t>-3.07%</w:t>
            </w:r>
          </w:p>
        </w:tc>
      </w:tr>
      <w:tr w:rsidR="00661DE4" w:rsidRPr="00CF6EA5" w14:paraId="741D7F35" w14:textId="77777777" w:rsidTr="00661DE4">
        <w:tc>
          <w:tcPr>
            <w:tcW w:w="2268" w:type="dxa"/>
            <w:noWrap/>
          </w:tcPr>
          <w:p w14:paraId="204A414D" w14:textId="77777777" w:rsidR="00661DE4" w:rsidRPr="00CF6EA5" w:rsidRDefault="00661DE4" w:rsidP="00661DE4">
            <w:pPr>
              <w:rPr>
                <w:i/>
                <w:sz w:val="16"/>
                <w:szCs w:val="16"/>
              </w:rPr>
            </w:pPr>
            <w:r>
              <w:rPr>
                <w:i/>
                <w:sz w:val="16"/>
                <w:szCs w:val="16"/>
              </w:rPr>
              <w:t>Greater Melbourne</w:t>
            </w:r>
          </w:p>
        </w:tc>
        <w:tc>
          <w:tcPr>
            <w:tcW w:w="644" w:type="dxa"/>
            <w:noWrap/>
          </w:tcPr>
          <w:p w14:paraId="5BB7F293" w14:textId="77777777" w:rsidR="00661DE4" w:rsidRPr="00CF6EA5" w:rsidRDefault="00661DE4" w:rsidP="00661DE4">
            <w:pPr>
              <w:rPr>
                <w:i/>
                <w:sz w:val="16"/>
                <w:szCs w:val="16"/>
              </w:rPr>
            </w:pPr>
          </w:p>
        </w:tc>
        <w:tc>
          <w:tcPr>
            <w:tcW w:w="662" w:type="dxa"/>
          </w:tcPr>
          <w:p w14:paraId="3AE1D5CF" w14:textId="77777777" w:rsidR="00661DE4" w:rsidRPr="00E57E44" w:rsidRDefault="00661DE4" w:rsidP="00661DE4">
            <w:pPr>
              <w:rPr>
                <w:i/>
                <w:sz w:val="16"/>
                <w:szCs w:val="16"/>
              </w:rPr>
            </w:pPr>
            <w:r w:rsidRPr="00E57E44">
              <w:rPr>
                <w:i/>
                <w:sz w:val="16"/>
                <w:szCs w:val="16"/>
              </w:rPr>
              <w:t>18,801</w:t>
            </w:r>
          </w:p>
        </w:tc>
        <w:tc>
          <w:tcPr>
            <w:tcW w:w="1427" w:type="dxa"/>
            <w:noWrap/>
          </w:tcPr>
          <w:p w14:paraId="04D428F7" w14:textId="77777777" w:rsidR="00661DE4" w:rsidRPr="00E57E44" w:rsidRDefault="00661DE4" w:rsidP="00661DE4">
            <w:pPr>
              <w:rPr>
                <w:i/>
                <w:sz w:val="16"/>
                <w:szCs w:val="16"/>
              </w:rPr>
            </w:pPr>
          </w:p>
        </w:tc>
        <w:tc>
          <w:tcPr>
            <w:tcW w:w="1228" w:type="dxa"/>
            <w:noWrap/>
          </w:tcPr>
          <w:p w14:paraId="5A343923" w14:textId="77777777" w:rsidR="00661DE4" w:rsidRPr="00E57E44" w:rsidRDefault="00661DE4" w:rsidP="00661DE4">
            <w:pPr>
              <w:rPr>
                <w:i/>
                <w:sz w:val="16"/>
                <w:szCs w:val="16"/>
              </w:rPr>
            </w:pPr>
            <w:r w:rsidRPr="00E57E44">
              <w:rPr>
                <w:i/>
                <w:sz w:val="16"/>
                <w:szCs w:val="16"/>
              </w:rPr>
              <w:t>$2,046,887,035</w:t>
            </w:r>
          </w:p>
        </w:tc>
        <w:tc>
          <w:tcPr>
            <w:tcW w:w="1027" w:type="dxa"/>
          </w:tcPr>
          <w:p w14:paraId="2080D067" w14:textId="77777777" w:rsidR="00661DE4" w:rsidRPr="00CF6EA5" w:rsidRDefault="00661DE4" w:rsidP="00661DE4">
            <w:pPr>
              <w:rPr>
                <w:i/>
                <w:sz w:val="16"/>
              </w:rPr>
            </w:pPr>
            <w:r>
              <w:rPr>
                <w:i/>
                <w:sz w:val="16"/>
              </w:rPr>
              <w:t>$108,871.18</w:t>
            </w:r>
          </w:p>
        </w:tc>
        <w:tc>
          <w:tcPr>
            <w:tcW w:w="1024" w:type="dxa"/>
          </w:tcPr>
          <w:p w14:paraId="08C7CD59" w14:textId="77777777" w:rsidR="00661DE4" w:rsidRDefault="00661DE4" w:rsidP="00661DE4">
            <w:pPr>
              <w:rPr>
                <w:i/>
                <w:sz w:val="16"/>
              </w:rPr>
            </w:pPr>
            <w:r>
              <w:rPr>
                <w:i/>
                <w:sz w:val="16"/>
              </w:rPr>
              <w:t>-2.87%</w:t>
            </w:r>
          </w:p>
        </w:tc>
      </w:tr>
    </w:tbl>
    <w:p w14:paraId="2AA61715" w14:textId="77777777" w:rsidR="00661DE4" w:rsidRDefault="00661DE4" w:rsidP="00661DE4"/>
    <w:p w14:paraId="40D039CD" w14:textId="77777777" w:rsidR="00661DE4" w:rsidRDefault="00661DE4" w:rsidP="00661DE4">
      <w:r>
        <w:t>While Werribee Plaza Tavern does not have the largest number of EGMs in Wyndham, it does have the highest player expenditure level at almost $13 million. It is closely followed by the Commercial Taverner (75 EGMs) with $12.5 million. The venue with the highest number of EGMs is the Hoppers Crossing Club (91). Its 2016/17 player expenditure was just over $6 million. Of the six venues with the highest total expenditures, five are hotels. The one club in this top six is the Tigers Clubhouse.</w:t>
      </w:r>
    </w:p>
    <w:p w14:paraId="0F4637A8" w14:textId="77777777" w:rsidR="00661DE4" w:rsidRDefault="00661DE4" w:rsidP="00661DE4">
      <w:r>
        <w:t>Average expenditure per EGM is highest for the Commercial Taverner and Werribee Plaza Tavern. For these venues each EGM brought in over $160,000 in 2016/17. All hotels except the Racecourse Hotel had average expenditure per EGM above the Greater Melbourne average. Only one of the clubs (the Tigers Clubhouse) has average expenditure per EGM above the Greater Melbourne average.</w:t>
      </w:r>
    </w:p>
    <w:p w14:paraId="13D1D4C4" w14:textId="77777777" w:rsidR="00661DE4" w:rsidRPr="00894F6F" w:rsidRDefault="00661DE4" w:rsidP="00661DE4">
      <w:pPr>
        <w:keepNext/>
        <w:keepLines/>
        <w:spacing w:before="40" w:after="0"/>
        <w:outlineLvl w:val="1"/>
        <w:rPr>
          <w:rFonts w:asciiTheme="majorHAnsi" w:eastAsiaTheme="majorEastAsia" w:hAnsiTheme="majorHAnsi" w:cstheme="majorBidi"/>
          <w:color w:val="365F91" w:themeColor="accent1" w:themeShade="BF"/>
          <w:sz w:val="26"/>
          <w:szCs w:val="26"/>
        </w:rPr>
      </w:pPr>
    </w:p>
    <w:p w14:paraId="73DC2789" w14:textId="77777777" w:rsidR="00661DE4" w:rsidRPr="00EF66B8" w:rsidRDefault="00661DE4" w:rsidP="00EF66B8">
      <w:pPr>
        <w:pStyle w:val="Heading2"/>
        <w:rPr>
          <w:color w:val="7030A0"/>
        </w:rPr>
      </w:pPr>
      <w:r w:rsidRPr="00EF66B8">
        <w:rPr>
          <w:color w:val="7030A0"/>
        </w:rPr>
        <w:t>Tax impact</w:t>
      </w:r>
    </w:p>
    <w:p w14:paraId="5FE5A5C8" w14:textId="77777777" w:rsidR="00661DE4" w:rsidRPr="00894F6F" w:rsidRDefault="00661DE4" w:rsidP="00661DE4">
      <w:r w:rsidRPr="00894F6F">
        <w:t xml:space="preserve">EGM revenue is not only a major aspect of </w:t>
      </w:r>
      <w:r>
        <w:t xml:space="preserve">venues’ </w:t>
      </w:r>
      <w:r w:rsidRPr="00894F6F">
        <w:t>operations, but also contri</w:t>
      </w:r>
      <w:r>
        <w:t xml:space="preserve">butes to the Victorian treasury </w:t>
      </w:r>
      <w:r w:rsidRPr="00894F6F">
        <w:t>in the form of taxes. Of the $2.6 billion that was spent on EGMs in 2015/16, around 36.7 per cent ($961.3 million) were collected in taxes</w:t>
      </w:r>
      <w:r>
        <w:t xml:space="preserve"> by the state government</w:t>
      </w:r>
      <w:r w:rsidRPr="00894F6F">
        <w:t>.</w:t>
      </w:r>
    </w:p>
    <w:p w14:paraId="0815E2F8" w14:textId="77777777" w:rsidR="00661DE4" w:rsidRPr="00894F6F" w:rsidRDefault="00661DE4" w:rsidP="00661DE4">
      <w:r w:rsidRPr="00894F6F">
        <w:t>The Victorian Government has made changes to the tax structure of EGM revenue. These changes will come into effect in August 2022</w:t>
      </w:r>
      <w:r>
        <w:t xml:space="preserve"> and are shown in the table below.</w:t>
      </w:r>
    </w:p>
    <w:tbl>
      <w:tblPr>
        <w:tblStyle w:val="TableGrid5"/>
        <w:tblW w:w="83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
        <w:gridCol w:w="2726"/>
        <w:gridCol w:w="850"/>
        <w:gridCol w:w="2977"/>
        <w:gridCol w:w="851"/>
      </w:tblGrid>
      <w:tr w:rsidR="00661DE4" w:rsidRPr="00894F6F" w14:paraId="7302595C" w14:textId="77777777" w:rsidTr="00661DE4">
        <w:tc>
          <w:tcPr>
            <w:tcW w:w="960" w:type="dxa"/>
            <w:tcBorders>
              <w:bottom w:val="nil"/>
            </w:tcBorders>
            <w:noWrap/>
            <w:hideMark/>
          </w:tcPr>
          <w:p w14:paraId="4AB0FA7E" w14:textId="77777777" w:rsidR="00661DE4" w:rsidRPr="00894F6F" w:rsidRDefault="00661DE4" w:rsidP="00661DE4">
            <w:pPr>
              <w:rPr>
                <w:b/>
                <w:sz w:val="16"/>
                <w:szCs w:val="16"/>
              </w:rPr>
            </w:pPr>
          </w:p>
        </w:tc>
        <w:tc>
          <w:tcPr>
            <w:tcW w:w="3576" w:type="dxa"/>
            <w:gridSpan w:val="2"/>
            <w:tcBorders>
              <w:bottom w:val="nil"/>
            </w:tcBorders>
            <w:noWrap/>
            <w:hideMark/>
          </w:tcPr>
          <w:p w14:paraId="028688AC" w14:textId="77777777" w:rsidR="00661DE4" w:rsidRPr="00894F6F" w:rsidRDefault="00661DE4" w:rsidP="00661DE4">
            <w:pPr>
              <w:rPr>
                <w:b/>
                <w:sz w:val="16"/>
                <w:szCs w:val="16"/>
              </w:rPr>
            </w:pPr>
            <w:r w:rsidRPr="00894F6F">
              <w:rPr>
                <w:b/>
                <w:sz w:val="16"/>
                <w:szCs w:val="16"/>
              </w:rPr>
              <w:t>Current tax structure</w:t>
            </w:r>
          </w:p>
        </w:tc>
        <w:tc>
          <w:tcPr>
            <w:tcW w:w="3828" w:type="dxa"/>
            <w:gridSpan w:val="2"/>
            <w:tcBorders>
              <w:bottom w:val="nil"/>
            </w:tcBorders>
            <w:noWrap/>
            <w:hideMark/>
          </w:tcPr>
          <w:p w14:paraId="7E35DA3D" w14:textId="77777777" w:rsidR="00661DE4" w:rsidRPr="00894F6F" w:rsidRDefault="00661DE4" w:rsidP="00661DE4">
            <w:pPr>
              <w:rPr>
                <w:b/>
                <w:sz w:val="16"/>
                <w:szCs w:val="16"/>
              </w:rPr>
            </w:pPr>
            <w:r w:rsidRPr="00894F6F">
              <w:rPr>
                <w:b/>
                <w:sz w:val="16"/>
                <w:szCs w:val="16"/>
              </w:rPr>
              <w:t>August 2022 tax structure</w:t>
            </w:r>
          </w:p>
        </w:tc>
      </w:tr>
      <w:tr w:rsidR="00661DE4" w:rsidRPr="00894F6F" w14:paraId="5C0B2127" w14:textId="77777777" w:rsidTr="00661DE4">
        <w:tc>
          <w:tcPr>
            <w:tcW w:w="960" w:type="dxa"/>
            <w:tcBorders>
              <w:top w:val="nil"/>
              <w:bottom w:val="single" w:sz="4" w:space="0" w:color="auto"/>
            </w:tcBorders>
            <w:noWrap/>
            <w:hideMark/>
          </w:tcPr>
          <w:p w14:paraId="3C2B114A" w14:textId="77777777" w:rsidR="00661DE4" w:rsidRPr="00894F6F" w:rsidRDefault="00661DE4" w:rsidP="00661DE4">
            <w:pPr>
              <w:rPr>
                <w:i/>
                <w:sz w:val="16"/>
                <w:szCs w:val="16"/>
              </w:rPr>
            </w:pPr>
          </w:p>
        </w:tc>
        <w:tc>
          <w:tcPr>
            <w:tcW w:w="2726" w:type="dxa"/>
            <w:tcBorders>
              <w:top w:val="nil"/>
              <w:bottom w:val="single" w:sz="4" w:space="0" w:color="auto"/>
            </w:tcBorders>
            <w:noWrap/>
            <w:hideMark/>
          </w:tcPr>
          <w:p w14:paraId="5B4308E4" w14:textId="77777777" w:rsidR="00661DE4" w:rsidRPr="00894F6F" w:rsidRDefault="00661DE4" w:rsidP="00661DE4">
            <w:pPr>
              <w:rPr>
                <w:i/>
                <w:sz w:val="16"/>
                <w:szCs w:val="16"/>
              </w:rPr>
            </w:pPr>
            <w:r w:rsidRPr="00894F6F">
              <w:rPr>
                <w:i/>
                <w:sz w:val="16"/>
                <w:szCs w:val="16"/>
              </w:rPr>
              <w:t>Monthly average per EGM revenue</w:t>
            </w:r>
          </w:p>
        </w:tc>
        <w:tc>
          <w:tcPr>
            <w:tcW w:w="850" w:type="dxa"/>
            <w:tcBorders>
              <w:top w:val="nil"/>
              <w:bottom w:val="single" w:sz="4" w:space="0" w:color="auto"/>
            </w:tcBorders>
            <w:noWrap/>
            <w:hideMark/>
          </w:tcPr>
          <w:p w14:paraId="35B8F7D5" w14:textId="77777777" w:rsidR="00661DE4" w:rsidRPr="00894F6F" w:rsidRDefault="00661DE4" w:rsidP="00661DE4">
            <w:pPr>
              <w:rPr>
                <w:i/>
                <w:sz w:val="16"/>
                <w:szCs w:val="16"/>
              </w:rPr>
            </w:pPr>
            <w:r w:rsidRPr="00894F6F">
              <w:rPr>
                <w:i/>
                <w:sz w:val="16"/>
                <w:szCs w:val="16"/>
              </w:rPr>
              <w:t>Tax rate</w:t>
            </w:r>
          </w:p>
        </w:tc>
        <w:tc>
          <w:tcPr>
            <w:tcW w:w="2977" w:type="dxa"/>
            <w:tcBorders>
              <w:top w:val="nil"/>
              <w:bottom w:val="single" w:sz="4" w:space="0" w:color="auto"/>
            </w:tcBorders>
            <w:noWrap/>
            <w:hideMark/>
          </w:tcPr>
          <w:p w14:paraId="14087A87" w14:textId="77777777" w:rsidR="00661DE4" w:rsidRPr="00894F6F" w:rsidRDefault="00661DE4" w:rsidP="00661DE4">
            <w:pPr>
              <w:rPr>
                <w:i/>
                <w:sz w:val="16"/>
                <w:szCs w:val="16"/>
              </w:rPr>
            </w:pPr>
            <w:r w:rsidRPr="00894F6F">
              <w:rPr>
                <w:i/>
                <w:sz w:val="16"/>
                <w:szCs w:val="16"/>
              </w:rPr>
              <w:t>Monthly average per EGM revenue</w:t>
            </w:r>
          </w:p>
        </w:tc>
        <w:tc>
          <w:tcPr>
            <w:tcW w:w="851" w:type="dxa"/>
            <w:tcBorders>
              <w:top w:val="nil"/>
              <w:bottom w:val="single" w:sz="4" w:space="0" w:color="auto"/>
            </w:tcBorders>
            <w:noWrap/>
            <w:hideMark/>
          </w:tcPr>
          <w:p w14:paraId="24513FD9" w14:textId="77777777" w:rsidR="00661DE4" w:rsidRPr="00894F6F" w:rsidRDefault="00661DE4" w:rsidP="00661DE4">
            <w:pPr>
              <w:rPr>
                <w:i/>
                <w:sz w:val="16"/>
                <w:szCs w:val="16"/>
              </w:rPr>
            </w:pPr>
            <w:r w:rsidRPr="00894F6F">
              <w:rPr>
                <w:i/>
                <w:sz w:val="16"/>
                <w:szCs w:val="16"/>
              </w:rPr>
              <w:t>Tax rate</w:t>
            </w:r>
          </w:p>
        </w:tc>
      </w:tr>
      <w:tr w:rsidR="00661DE4" w:rsidRPr="00894F6F" w14:paraId="53766F02" w14:textId="77777777" w:rsidTr="00661DE4">
        <w:tc>
          <w:tcPr>
            <w:tcW w:w="960" w:type="dxa"/>
            <w:tcBorders>
              <w:top w:val="single" w:sz="4" w:space="0" w:color="auto"/>
            </w:tcBorders>
            <w:noWrap/>
            <w:hideMark/>
          </w:tcPr>
          <w:p w14:paraId="3203AD49" w14:textId="77777777" w:rsidR="00661DE4" w:rsidRPr="00894F6F" w:rsidRDefault="00661DE4" w:rsidP="00661DE4">
            <w:pPr>
              <w:rPr>
                <w:sz w:val="16"/>
                <w:szCs w:val="16"/>
              </w:rPr>
            </w:pPr>
            <w:r w:rsidRPr="00894F6F">
              <w:rPr>
                <w:sz w:val="16"/>
                <w:szCs w:val="16"/>
              </w:rPr>
              <w:t>Clubs</w:t>
            </w:r>
          </w:p>
        </w:tc>
        <w:tc>
          <w:tcPr>
            <w:tcW w:w="2726" w:type="dxa"/>
            <w:tcBorders>
              <w:top w:val="single" w:sz="4" w:space="0" w:color="auto"/>
            </w:tcBorders>
            <w:noWrap/>
            <w:hideMark/>
          </w:tcPr>
          <w:p w14:paraId="521B945F" w14:textId="77777777" w:rsidR="00661DE4" w:rsidRPr="00894F6F" w:rsidRDefault="00661DE4" w:rsidP="00661DE4">
            <w:pPr>
              <w:rPr>
                <w:sz w:val="16"/>
                <w:szCs w:val="16"/>
              </w:rPr>
            </w:pPr>
            <w:r w:rsidRPr="00894F6F">
              <w:rPr>
                <w:sz w:val="16"/>
                <w:szCs w:val="16"/>
              </w:rPr>
              <w:t>Less than $2,666</w:t>
            </w:r>
          </w:p>
        </w:tc>
        <w:tc>
          <w:tcPr>
            <w:tcW w:w="850" w:type="dxa"/>
            <w:tcBorders>
              <w:top w:val="single" w:sz="4" w:space="0" w:color="auto"/>
            </w:tcBorders>
            <w:noWrap/>
            <w:hideMark/>
          </w:tcPr>
          <w:p w14:paraId="0717EBF6" w14:textId="77777777" w:rsidR="00661DE4" w:rsidRPr="00894F6F" w:rsidRDefault="00661DE4" w:rsidP="00661DE4">
            <w:pPr>
              <w:rPr>
                <w:sz w:val="16"/>
                <w:szCs w:val="16"/>
              </w:rPr>
            </w:pPr>
            <w:r w:rsidRPr="00894F6F">
              <w:rPr>
                <w:sz w:val="16"/>
                <w:szCs w:val="16"/>
              </w:rPr>
              <w:t>0.00%</w:t>
            </w:r>
          </w:p>
        </w:tc>
        <w:tc>
          <w:tcPr>
            <w:tcW w:w="2977" w:type="dxa"/>
            <w:tcBorders>
              <w:top w:val="single" w:sz="4" w:space="0" w:color="auto"/>
            </w:tcBorders>
            <w:noWrap/>
            <w:hideMark/>
          </w:tcPr>
          <w:p w14:paraId="3BC401FA" w14:textId="77777777" w:rsidR="00661DE4" w:rsidRPr="00894F6F" w:rsidRDefault="00661DE4" w:rsidP="00661DE4">
            <w:pPr>
              <w:rPr>
                <w:sz w:val="16"/>
                <w:szCs w:val="16"/>
              </w:rPr>
            </w:pPr>
            <w:r w:rsidRPr="00894F6F">
              <w:rPr>
                <w:sz w:val="16"/>
                <w:szCs w:val="16"/>
              </w:rPr>
              <w:t>Less than $2,666</w:t>
            </w:r>
          </w:p>
        </w:tc>
        <w:tc>
          <w:tcPr>
            <w:tcW w:w="851" w:type="dxa"/>
            <w:tcBorders>
              <w:top w:val="single" w:sz="4" w:space="0" w:color="auto"/>
            </w:tcBorders>
            <w:noWrap/>
            <w:hideMark/>
          </w:tcPr>
          <w:p w14:paraId="698CA3D7" w14:textId="77777777" w:rsidR="00661DE4" w:rsidRPr="00894F6F" w:rsidRDefault="00661DE4" w:rsidP="00661DE4">
            <w:pPr>
              <w:rPr>
                <w:sz w:val="16"/>
                <w:szCs w:val="16"/>
              </w:rPr>
            </w:pPr>
            <w:r w:rsidRPr="00894F6F">
              <w:rPr>
                <w:sz w:val="16"/>
                <w:szCs w:val="16"/>
              </w:rPr>
              <w:t>0.00%</w:t>
            </w:r>
          </w:p>
        </w:tc>
      </w:tr>
      <w:tr w:rsidR="00661DE4" w:rsidRPr="00894F6F" w14:paraId="07C60480" w14:textId="77777777" w:rsidTr="00661DE4">
        <w:tc>
          <w:tcPr>
            <w:tcW w:w="960" w:type="dxa"/>
            <w:noWrap/>
            <w:hideMark/>
          </w:tcPr>
          <w:p w14:paraId="018D7BE4" w14:textId="77777777" w:rsidR="00661DE4" w:rsidRPr="00894F6F" w:rsidRDefault="00661DE4" w:rsidP="00661DE4">
            <w:pPr>
              <w:rPr>
                <w:sz w:val="16"/>
                <w:szCs w:val="16"/>
              </w:rPr>
            </w:pPr>
          </w:p>
        </w:tc>
        <w:tc>
          <w:tcPr>
            <w:tcW w:w="2726" w:type="dxa"/>
            <w:noWrap/>
            <w:hideMark/>
          </w:tcPr>
          <w:p w14:paraId="2BD69D57" w14:textId="77777777" w:rsidR="00661DE4" w:rsidRPr="00894F6F" w:rsidRDefault="00661DE4" w:rsidP="00661DE4">
            <w:pPr>
              <w:rPr>
                <w:sz w:val="16"/>
                <w:szCs w:val="16"/>
              </w:rPr>
            </w:pPr>
            <w:r w:rsidRPr="00894F6F">
              <w:rPr>
                <w:sz w:val="16"/>
                <w:szCs w:val="16"/>
              </w:rPr>
              <w:t>$2,666 or more and less than $12,500</w:t>
            </w:r>
          </w:p>
        </w:tc>
        <w:tc>
          <w:tcPr>
            <w:tcW w:w="850" w:type="dxa"/>
            <w:noWrap/>
            <w:hideMark/>
          </w:tcPr>
          <w:p w14:paraId="635EDF55" w14:textId="77777777" w:rsidR="00661DE4" w:rsidRPr="00894F6F" w:rsidRDefault="00661DE4" w:rsidP="00661DE4">
            <w:pPr>
              <w:rPr>
                <w:sz w:val="16"/>
                <w:szCs w:val="16"/>
              </w:rPr>
            </w:pPr>
            <w:r w:rsidRPr="00894F6F">
              <w:rPr>
                <w:sz w:val="16"/>
                <w:szCs w:val="16"/>
              </w:rPr>
              <w:t>46.70%</w:t>
            </w:r>
          </w:p>
        </w:tc>
        <w:tc>
          <w:tcPr>
            <w:tcW w:w="2977" w:type="dxa"/>
            <w:noWrap/>
            <w:hideMark/>
          </w:tcPr>
          <w:p w14:paraId="49AAA538" w14:textId="77777777" w:rsidR="00661DE4" w:rsidRPr="00894F6F" w:rsidRDefault="00661DE4" w:rsidP="00661DE4">
            <w:pPr>
              <w:rPr>
                <w:sz w:val="16"/>
                <w:szCs w:val="16"/>
              </w:rPr>
            </w:pPr>
            <w:r w:rsidRPr="00894F6F">
              <w:rPr>
                <w:sz w:val="16"/>
                <w:szCs w:val="16"/>
              </w:rPr>
              <w:t>$2,666 or more and less than $6,667</w:t>
            </w:r>
          </w:p>
        </w:tc>
        <w:tc>
          <w:tcPr>
            <w:tcW w:w="851" w:type="dxa"/>
            <w:noWrap/>
            <w:hideMark/>
          </w:tcPr>
          <w:p w14:paraId="329135B4" w14:textId="77777777" w:rsidR="00661DE4" w:rsidRPr="00894F6F" w:rsidRDefault="00661DE4" w:rsidP="00661DE4">
            <w:pPr>
              <w:rPr>
                <w:sz w:val="16"/>
                <w:szCs w:val="16"/>
              </w:rPr>
            </w:pPr>
            <w:r w:rsidRPr="00894F6F">
              <w:rPr>
                <w:sz w:val="16"/>
                <w:szCs w:val="16"/>
              </w:rPr>
              <w:t>46.70%</w:t>
            </w:r>
          </w:p>
        </w:tc>
      </w:tr>
      <w:tr w:rsidR="00661DE4" w:rsidRPr="00894F6F" w14:paraId="4ACC0539" w14:textId="77777777" w:rsidTr="00661DE4">
        <w:tc>
          <w:tcPr>
            <w:tcW w:w="960" w:type="dxa"/>
            <w:tcBorders>
              <w:bottom w:val="nil"/>
            </w:tcBorders>
            <w:noWrap/>
            <w:hideMark/>
          </w:tcPr>
          <w:p w14:paraId="52A74843" w14:textId="77777777" w:rsidR="00661DE4" w:rsidRPr="00894F6F" w:rsidRDefault="00661DE4" w:rsidP="00661DE4">
            <w:pPr>
              <w:rPr>
                <w:sz w:val="16"/>
                <w:szCs w:val="16"/>
              </w:rPr>
            </w:pPr>
          </w:p>
        </w:tc>
        <w:tc>
          <w:tcPr>
            <w:tcW w:w="2726" w:type="dxa"/>
            <w:tcBorders>
              <w:bottom w:val="nil"/>
            </w:tcBorders>
            <w:noWrap/>
            <w:hideMark/>
          </w:tcPr>
          <w:p w14:paraId="768C2128" w14:textId="77777777" w:rsidR="00661DE4" w:rsidRPr="00894F6F" w:rsidRDefault="00661DE4" w:rsidP="00661DE4">
            <w:pPr>
              <w:rPr>
                <w:sz w:val="16"/>
                <w:szCs w:val="16"/>
              </w:rPr>
            </w:pPr>
          </w:p>
        </w:tc>
        <w:tc>
          <w:tcPr>
            <w:tcW w:w="850" w:type="dxa"/>
            <w:tcBorders>
              <w:bottom w:val="nil"/>
            </w:tcBorders>
            <w:noWrap/>
            <w:hideMark/>
          </w:tcPr>
          <w:p w14:paraId="78E0EE2B" w14:textId="77777777" w:rsidR="00661DE4" w:rsidRPr="00894F6F" w:rsidRDefault="00661DE4" w:rsidP="00661DE4">
            <w:pPr>
              <w:rPr>
                <w:sz w:val="16"/>
                <w:szCs w:val="16"/>
              </w:rPr>
            </w:pPr>
          </w:p>
        </w:tc>
        <w:tc>
          <w:tcPr>
            <w:tcW w:w="2977" w:type="dxa"/>
            <w:tcBorders>
              <w:bottom w:val="nil"/>
            </w:tcBorders>
            <w:noWrap/>
            <w:hideMark/>
          </w:tcPr>
          <w:p w14:paraId="681DE486" w14:textId="77777777" w:rsidR="00661DE4" w:rsidRPr="00894F6F" w:rsidRDefault="00661DE4" w:rsidP="00661DE4">
            <w:pPr>
              <w:rPr>
                <w:sz w:val="16"/>
                <w:szCs w:val="16"/>
              </w:rPr>
            </w:pPr>
            <w:r w:rsidRPr="00894F6F">
              <w:rPr>
                <w:sz w:val="16"/>
                <w:szCs w:val="16"/>
              </w:rPr>
              <w:t>$6,667 or more and less than to $12,500</w:t>
            </w:r>
          </w:p>
        </w:tc>
        <w:tc>
          <w:tcPr>
            <w:tcW w:w="851" w:type="dxa"/>
            <w:tcBorders>
              <w:bottom w:val="nil"/>
            </w:tcBorders>
            <w:noWrap/>
            <w:hideMark/>
          </w:tcPr>
          <w:p w14:paraId="5DD4E117" w14:textId="77777777" w:rsidR="00661DE4" w:rsidRPr="00894F6F" w:rsidRDefault="00661DE4" w:rsidP="00661DE4">
            <w:pPr>
              <w:rPr>
                <w:sz w:val="16"/>
                <w:szCs w:val="16"/>
              </w:rPr>
            </w:pPr>
            <w:r w:rsidRPr="00894F6F">
              <w:rPr>
                <w:sz w:val="16"/>
                <w:szCs w:val="16"/>
              </w:rPr>
              <w:t>51.17%</w:t>
            </w:r>
          </w:p>
        </w:tc>
      </w:tr>
      <w:tr w:rsidR="00661DE4" w:rsidRPr="00894F6F" w14:paraId="64EC85AE" w14:textId="77777777" w:rsidTr="00661DE4">
        <w:tc>
          <w:tcPr>
            <w:tcW w:w="960" w:type="dxa"/>
            <w:tcBorders>
              <w:top w:val="nil"/>
              <w:bottom w:val="dotted" w:sz="4" w:space="0" w:color="auto"/>
            </w:tcBorders>
            <w:noWrap/>
            <w:hideMark/>
          </w:tcPr>
          <w:p w14:paraId="0FF13BB2" w14:textId="77777777" w:rsidR="00661DE4" w:rsidRPr="00894F6F" w:rsidRDefault="00661DE4" w:rsidP="00661DE4">
            <w:pPr>
              <w:rPr>
                <w:sz w:val="16"/>
                <w:szCs w:val="16"/>
              </w:rPr>
            </w:pPr>
          </w:p>
        </w:tc>
        <w:tc>
          <w:tcPr>
            <w:tcW w:w="2726" w:type="dxa"/>
            <w:tcBorders>
              <w:top w:val="nil"/>
              <w:bottom w:val="dotted" w:sz="4" w:space="0" w:color="auto"/>
            </w:tcBorders>
            <w:noWrap/>
            <w:hideMark/>
          </w:tcPr>
          <w:p w14:paraId="348BC2ED" w14:textId="77777777" w:rsidR="00661DE4" w:rsidRPr="00894F6F" w:rsidRDefault="00661DE4" w:rsidP="00661DE4">
            <w:pPr>
              <w:rPr>
                <w:sz w:val="16"/>
                <w:szCs w:val="16"/>
              </w:rPr>
            </w:pPr>
            <w:r w:rsidRPr="00894F6F">
              <w:rPr>
                <w:sz w:val="16"/>
                <w:szCs w:val="16"/>
              </w:rPr>
              <w:t>$12,500 or more</w:t>
            </w:r>
          </w:p>
        </w:tc>
        <w:tc>
          <w:tcPr>
            <w:tcW w:w="850" w:type="dxa"/>
            <w:tcBorders>
              <w:top w:val="nil"/>
              <w:bottom w:val="dotted" w:sz="4" w:space="0" w:color="auto"/>
            </w:tcBorders>
            <w:noWrap/>
            <w:hideMark/>
          </w:tcPr>
          <w:p w14:paraId="70C1DED4" w14:textId="77777777" w:rsidR="00661DE4" w:rsidRPr="00894F6F" w:rsidRDefault="00661DE4" w:rsidP="00661DE4">
            <w:pPr>
              <w:rPr>
                <w:sz w:val="16"/>
                <w:szCs w:val="16"/>
              </w:rPr>
            </w:pPr>
            <w:r w:rsidRPr="00894F6F">
              <w:rPr>
                <w:sz w:val="16"/>
                <w:szCs w:val="16"/>
              </w:rPr>
              <w:t>54.20%</w:t>
            </w:r>
          </w:p>
        </w:tc>
        <w:tc>
          <w:tcPr>
            <w:tcW w:w="2977" w:type="dxa"/>
            <w:tcBorders>
              <w:top w:val="nil"/>
              <w:bottom w:val="dotted" w:sz="4" w:space="0" w:color="auto"/>
            </w:tcBorders>
            <w:noWrap/>
            <w:hideMark/>
          </w:tcPr>
          <w:p w14:paraId="588E57F6" w14:textId="77777777" w:rsidR="00661DE4" w:rsidRPr="00894F6F" w:rsidRDefault="00661DE4" w:rsidP="00661DE4">
            <w:pPr>
              <w:rPr>
                <w:sz w:val="16"/>
                <w:szCs w:val="16"/>
              </w:rPr>
            </w:pPr>
            <w:r w:rsidRPr="00894F6F">
              <w:rPr>
                <w:sz w:val="16"/>
                <w:szCs w:val="16"/>
              </w:rPr>
              <w:t>$12,500 or more</w:t>
            </w:r>
          </w:p>
        </w:tc>
        <w:tc>
          <w:tcPr>
            <w:tcW w:w="851" w:type="dxa"/>
            <w:tcBorders>
              <w:top w:val="nil"/>
              <w:bottom w:val="dotted" w:sz="4" w:space="0" w:color="auto"/>
            </w:tcBorders>
            <w:noWrap/>
            <w:hideMark/>
          </w:tcPr>
          <w:p w14:paraId="67D15666" w14:textId="77777777" w:rsidR="00661DE4" w:rsidRPr="00894F6F" w:rsidRDefault="00661DE4" w:rsidP="00661DE4">
            <w:pPr>
              <w:rPr>
                <w:sz w:val="16"/>
                <w:szCs w:val="16"/>
              </w:rPr>
            </w:pPr>
            <w:r w:rsidRPr="00894F6F">
              <w:rPr>
                <w:sz w:val="16"/>
                <w:szCs w:val="16"/>
              </w:rPr>
              <w:t>60.67%</w:t>
            </w:r>
          </w:p>
        </w:tc>
      </w:tr>
      <w:tr w:rsidR="00661DE4" w:rsidRPr="00894F6F" w14:paraId="79681A72" w14:textId="77777777" w:rsidTr="00661DE4">
        <w:tc>
          <w:tcPr>
            <w:tcW w:w="960" w:type="dxa"/>
            <w:tcBorders>
              <w:top w:val="dotted" w:sz="4" w:space="0" w:color="auto"/>
            </w:tcBorders>
            <w:noWrap/>
            <w:hideMark/>
          </w:tcPr>
          <w:p w14:paraId="60D1635D" w14:textId="77777777" w:rsidR="00661DE4" w:rsidRPr="00894F6F" w:rsidRDefault="00661DE4" w:rsidP="00661DE4">
            <w:pPr>
              <w:rPr>
                <w:sz w:val="16"/>
                <w:szCs w:val="16"/>
              </w:rPr>
            </w:pPr>
            <w:r w:rsidRPr="00894F6F">
              <w:rPr>
                <w:sz w:val="16"/>
                <w:szCs w:val="16"/>
              </w:rPr>
              <w:t>Hotels</w:t>
            </w:r>
          </w:p>
        </w:tc>
        <w:tc>
          <w:tcPr>
            <w:tcW w:w="2726" w:type="dxa"/>
            <w:tcBorders>
              <w:top w:val="dotted" w:sz="4" w:space="0" w:color="auto"/>
            </w:tcBorders>
            <w:noWrap/>
            <w:hideMark/>
          </w:tcPr>
          <w:p w14:paraId="5BDDC9FD" w14:textId="77777777" w:rsidR="00661DE4" w:rsidRPr="00894F6F" w:rsidRDefault="00661DE4" w:rsidP="00661DE4">
            <w:pPr>
              <w:rPr>
                <w:sz w:val="16"/>
                <w:szCs w:val="16"/>
              </w:rPr>
            </w:pPr>
            <w:r w:rsidRPr="00894F6F">
              <w:rPr>
                <w:sz w:val="16"/>
                <w:szCs w:val="16"/>
              </w:rPr>
              <w:t>Less than $2,666</w:t>
            </w:r>
          </w:p>
        </w:tc>
        <w:tc>
          <w:tcPr>
            <w:tcW w:w="850" w:type="dxa"/>
            <w:tcBorders>
              <w:top w:val="dotted" w:sz="4" w:space="0" w:color="auto"/>
            </w:tcBorders>
            <w:noWrap/>
            <w:hideMark/>
          </w:tcPr>
          <w:p w14:paraId="669ADBA1" w14:textId="77777777" w:rsidR="00661DE4" w:rsidRPr="00894F6F" w:rsidRDefault="00661DE4" w:rsidP="00661DE4">
            <w:pPr>
              <w:rPr>
                <w:sz w:val="16"/>
                <w:szCs w:val="16"/>
              </w:rPr>
            </w:pPr>
            <w:r w:rsidRPr="00894F6F">
              <w:rPr>
                <w:sz w:val="16"/>
                <w:szCs w:val="16"/>
              </w:rPr>
              <w:t>8.33%</w:t>
            </w:r>
          </w:p>
        </w:tc>
        <w:tc>
          <w:tcPr>
            <w:tcW w:w="2977" w:type="dxa"/>
            <w:tcBorders>
              <w:top w:val="dotted" w:sz="4" w:space="0" w:color="auto"/>
            </w:tcBorders>
            <w:noWrap/>
            <w:hideMark/>
          </w:tcPr>
          <w:p w14:paraId="5DE89ED5" w14:textId="77777777" w:rsidR="00661DE4" w:rsidRPr="00894F6F" w:rsidRDefault="00661DE4" w:rsidP="00661DE4">
            <w:pPr>
              <w:rPr>
                <w:sz w:val="16"/>
                <w:szCs w:val="16"/>
              </w:rPr>
            </w:pPr>
            <w:r w:rsidRPr="00894F6F">
              <w:rPr>
                <w:sz w:val="16"/>
                <w:szCs w:val="16"/>
              </w:rPr>
              <w:t>Less than $2,666</w:t>
            </w:r>
          </w:p>
        </w:tc>
        <w:tc>
          <w:tcPr>
            <w:tcW w:w="851" w:type="dxa"/>
            <w:tcBorders>
              <w:top w:val="dotted" w:sz="4" w:space="0" w:color="auto"/>
            </w:tcBorders>
            <w:noWrap/>
            <w:hideMark/>
          </w:tcPr>
          <w:p w14:paraId="40222812" w14:textId="77777777" w:rsidR="00661DE4" w:rsidRPr="00894F6F" w:rsidRDefault="00661DE4" w:rsidP="00661DE4">
            <w:pPr>
              <w:rPr>
                <w:sz w:val="16"/>
                <w:szCs w:val="16"/>
              </w:rPr>
            </w:pPr>
            <w:r w:rsidRPr="00894F6F">
              <w:rPr>
                <w:sz w:val="16"/>
                <w:szCs w:val="16"/>
              </w:rPr>
              <w:t>8.33%</w:t>
            </w:r>
          </w:p>
        </w:tc>
      </w:tr>
      <w:tr w:rsidR="00661DE4" w:rsidRPr="00894F6F" w14:paraId="4EAF4D87" w14:textId="77777777" w:rsidTr="00661DE4">
        <w:tc>
          <w:tcPr>
            <w:tcW w:w="960" w:type="dxa"/>
            <w:noWrap/>
            <w:hideMark/>
          </w:tcPr>
          <w:p w14:paraId="29CB7470" w14:textId="77777777" w:rsidR="00661DE4" w:rsidRPr="00894F6F" w:rsidRDefault="00661DE4" w:rsidP="00661DE4">
            <w:pPr>
              <w:rPr>
                <w:sz w:val="16"/>
                <w:szCs w:val="16"/>
              </w:rPr>
            </w:pPr>
          </w:p>
        </w:tc>
        <w:tc>
          <w:tcPr>
            <w:tcW w:w="2726" w:type="dxa"/>
            <w:noWrap/>
            <w:hideMark/>
          </w:tcPr>
          <w:p w14:paraId="7D3EAB40" w14:textId="77777777" w:rsidR="00661DE4" w:rsidRPr="00894F6F" w:rsidRDefault="00661DE4" w:rsidP="00661DE4">
            <w:pPr>
              <w:rPr>
                <w:sz w:val="16"/>
                <w:szCs w:val="16"/>
              </w:rPr>
            </w:pPr>
            <w:r w:rsidRPr="00894F6F">
              <w:rPr>
                <w:sz w:val="16"/>
                <w:szCs w:val="16"/>
              </w:rPr>
              <w:t>$2,666 or more and less than $12,500</w:t>
            </w:r>
          </w:p>
        </w:tc>
        <w:tc>
          <w:tcPr>
            <w:tcW w:w="850" w:type="dxa"/>
            <w:noWrap/>
            <w:hideMark/>
          </w:tcPr>
          <w:p w14:paraId="683CA9CA" w14:textId="77777777" w:rsidR="00661DE4" w:rsidRPr="00894F6F" w:rsidRDefault="00661DE4" w:rsidP="00661DE4">
            <w:pPr>
              <w:rPr>
                <w:sz w:val="16"/>
                <w:szCs w:val="16"/>
              </w:rPr>
            </w:pPr>
            <w:r w:rsidRPr="00894F6F">
              <w:rPr>
                <w:sz w:val="16"/>
                <w:szCs w:val="16"/>
              </w:rPr>
              <w:t>55.03%</w:t>
            </w:r>
          </w:p>
        </w:tc>
        <w:tc>
          <w:tcPr>
            <w:tcW w:w="2977" w:type="dxa"/>
            <w:noWrap/>
            <w:hideMark/>
          </w:tcPr>
          <w:p w14:paraId="7A4A87D1" w14:textId="77777777" w:rsidR="00661DE4" w:rsidRPr="00894F6F" w:rsidRDefault="00661DE4" w:rsidP="00661DE4">
            <w:pPr>
              <w:rPr>
                <w:sz w:val="16"/>
                <w:szCs w:val="16"/>
              </w:rPr>
            </w:pPr>
            <w:r w:rsidRPr="00894F6F">
              <w:rPr>
                <w:sz w:val="16"/>
                <w:szCs w:val="16"/>
              </w:rPr>
              <w:t>$2,666 or more and less than $6,667</w:t>
            </w:r>
          </w:p>
        </w:tc>
        <w:tc>
          <w:tcPr>
            <w:tcW w:w="851" w:type="dxa"/>
            <w:noWrap/>
            <w:hideMark/>
          </w:tcPr>
          <w:p w14:paraId="18494A2D" w14:textId="77777777" w:rsidR="00661DE4" w:rsidRPr="00894F6F" w:rsidRDefault="00661DE4" w:rsidP="00661DE4">
            <w:pPr>
              <w:rPr>
                <w:sz w:val="16"/>
                <w:szCs w:val="16"/>
              </w:rPr>
            </w:pPr>
            <w:r w:rsidRPr="00894F6F">
              <w:rPr>
                <w:sz w:val="16"/>
                <w:szCs w:val="16"/>
              </w:rPr>
              <w:t>55.03%</w:t>
            </w:r>
          </w:p>
        </w:tc>
      </w:tr>
      <w:tr w:rsidR="00661DE4" w:rsidRPr="00894F6F" w14:paraId="1CDD9AE1" w14:textId="77777777" w:rsidTr="00661DE4">
        <w:tc>
          <w:tcPr>
            <w:tcW w:w="960" w:type="dxa"/>
            <w:noWrap/>
            <w:hideMark/>
          </w:tcPr>
          <w:p w14:paraId="363E2230" w14:textId="77777777" w:rsidR="00661DE4" w:rsidRPr="00894F6F" w:rsidRDefault="00661DE4" w:rsidP="00661DE4">
            <w:pPr>
              <w:rPr>
                <w:sz w:val="16"/>
                <w:szCs w:val="16"/>
              </w:rPr>
            </w:pPr>
          </w:p>
        </w:tc>
        <w:tc>
          <w:tcPr>
            <w:tcW w:w="2726" w:type="dxa"/>
            <w:noWrap/>
            <w:hideMark/>
          </w:tcPr>
          <w:p w14:paraId="08B265BB" w14:textId="77777777" w:rsidR="00661DE4" w:rsidRPr="00894F6F" w:rsidRDefault="00661DE4" w:rsidP="00661DE4">
            <w:pPr>
              <w:rPr>
                <w:sz w:val="16"/>
                <w:szCs w:val="16"/>
              </w:rPr>
            </w:pPr>
          </w:p>
        </w:tc>
        <w:tc>
          <w:tcPr>
            <w:tcW w:w="850" w:type="dxa"/>
            <w:noWrap/>
            <w:hideMark/>
          </w:tcPr>
          <w:p w14:paraId="3EF565B0" w14:textId="77777777" w:rsidR="00661DE4" w:rsidRPr="00894F6F" w:rsidRDefault="00661DE4" w:rsidP="00661DE4">
            <w:pPr>
              <w:rPr>
                <w:sz w:val="16"/>
                <w:szCs w:val="16"/>
              </w:rPr>
            </w:pPr>
          </w:p>
        </w:tc>
        <w:tc>
          <w:tcPr>
            <w:tcW w:w="2977" w:type="dxa"/>
            <w:noWrap/>
            <w:hideMark/>
          </w:tcPr>
          <w:p w14:paraId="674AF7F6" w14:textId="77777777" w:rsidR="00661DE4" w:rsidRPr="00894F6F" w:rsidRDefault="00661DE4" w:rsidP="00661DE4">
            <w:pPr>
              <w:rPr>
                <w:sz w:val="16"/>
                <w:szCs w:val="16"/>
              </w:rPr>
            </w:pPr>
            <w:r w:rsidRPr="00894F6F">
              <w:rPr>
                <w:sz w:val="16"/>
                <w:szCs w:val="16"/>
              </w:rPr>
              <w:t>$6,667 or more and less than to $12,500</w:t>
            </w:r>
          </w:p>
        </w:tc>
        <w:tc>
          <w:tcPr>
            <w:tcW w:w="851" w:type="dxa"/>
            <w:noWrap/>
            <w:hideMark/>
          </w:tcPr>
          <w:p w14:paraId="42178F34" w14:textId="77777777" w:rsidR="00661DE4" w:rsidRPr="00894F6F" w:rsidRDefault="00661DE4" w:rsidP="00661DE4">
            <w:pPr>
              <w:rPr>
                <w:sz w:val="16"/>
                <w:szCs w:val="16"/>
              </w:rPr>
            </w:pPr>
            <w:r w:rsidRPr="00894F6F">
              <w:rPr>
                <w:sz w:val="16"/>
                <w:szCs w:val="16"/>
              </w:rPr>
              <w:t>57.50%</w:t>
            </w:r>
          </w:p>
        </w:tc>
      </w:tr>
      <w:tr w:rsidR="00661DE4" w:rsidRPr="00894F6F" w14:paraId="1599A033" w14:textId="77777777" w:rsidTr="00661DE4">
        <w:tc>
          <w:tcPr>
            <w:tcW w:w="960" w:type="dxa"/>
            <w:noWrap/>
            <w:hideMark/>
          </w:tcPr>
          <w:p w14:paraId="7C8B6D2C" w14:textId="77777777" w:rsidR="00661DE4" w:rsidRPr="00894F6F" w:rsidRDefault="00661DE4" w:rsidP="00661DE4">
            <w:pPr>
              <w:rPr>
                <w:sz w:val="16"/>
                <w:szCs w:val="16"/>
              </w:rPr>
            </w:pPr>
          </w:p>
        </w:tc>
        <w:tc>
          <w:tcPr>
            <w:tcW w:w="2726" w:type="dxa"/>
            <w:noWrap/>
            <w:hideMark/>
          </w:tcPr>
          <w:p w14:paraId="0BE81D1C" w14:textId="77777777" w:rsidR="00661DE4" w:rsidRPr="00894F6F" w:rsidRDefault="00661DE4" w:rsidP="00661DE4">
            <w:pPr>
              <w:rPr>
                <w:sz w:val="16"/>
                <w:szCs w:val="16"/>
              </w:rPr>
            </w:pPr>
            <w:r w:rsidRPr="00894F6F">
              <w:rPr>
                <w:sz w:val="16"/>
                <w:szCs w:val="16"/>
              </w:rPr>
              <w:t>$12,500 or more</w:t>
            </w:r>
          </w:p>
        </w:tc>
        <w:tc>
          <w:tcPr>
            <w:tcW w:w="850" w:type="dxa"/>
            <w:noWrap/>
            <w:hideMark/>
          </w:tcPr>
          <w:p w14:paraId="62B172D8" w14:textId="77777777" w:rsidR="00661DE4" w:rsidRPr="00894F6F" w:rsidRDefault="00661DE4" w:rsidP="00661DE4">
            <w:pPr>
              <w:rPr>
                <w:sz w:val="16"/>
                <w:szCs w:val="16"/>
              </w:rPr>
            </w:pPr>
            <w:r w:rsidRPr="00894F6F">
              <w:rPr>
                <w:sz w:val="16"/>
                <w:szCs w:val="16"/>
              </w:rPr>
              <w:t>62.53%</w:t>
            </w:r>
          </w:p>
        </w:tc>
        <w:tc>
          <w:tcPr>
            <w:tcW w:w="2977" w:type="dxa"/>
            <w:noWrap/>
            <w:hideMark/>
          </w:tcPr>
          <w:p w14:paraId="4C8FA0BC" w14:textId="77777777" w:rsidR="00661DE4" w:rsidRPr="00894F6F" w:rsidRDefault="00661DE4" w:rsidP="00661DE4">
            <w:pPr>
              <w:rPr>
                <w:sz w:val="16"/>
                <w:szCs w:val="16"/>
              </w:rPr>
            </w:pPr>
            <w:r w:rsidRPr="00894F6F">
              <w:rPr>
                <w:sz w:val="16"/>
                <w:szCs w:val="16"/>
              </w:rPr>
              <w:t>$12,500 or more</w:t>
            </w:r>
          </w:p>
        </w:tc>
        <w:tc>
          <w:tcPr>
            <w:tcW w:w="851" w:type="dxa"/>
            <w:noWrap/>
            <w:hideMark/>
          </w:tcPr>
          <w:p w14:paraId="3D162516" w14:textId="77777777" w:rsidR="00661DE4" w:rsidRPr="00894F6F" w:rsidRDefault="00661DE4" w:rsidP="00661DE4">
            <w:pPr>
              <w:rPr>
                <w:sz w:val="16"/>
                <w:szCs w:val="16"/>
              </w:rPr>
            </w:pPr>
            <w:r w:rsidRPr="00894F6F">
              <w:rPr>
                <w:sz w:val="16"/>
                <w:szCs w:val="16"/>
              </w:rPr>
              <w:t>65.00%</w:t>
            </w:r>
          </w:p>
        </w:tc>
      </w:tr>
    </w:tbl>
    <w:p w14:paraId="41A38AE3" w14:textId="77777777" w:rsidR="00661DE4" w:rsidRDefault="00661DE4" w:rsidP="00661DE4"/>
    <w:p w14:paraId="3A13EF72" w14:textId="77777777" w:rsidR="00661DE4" w:rsidRDefault="00661DE4" w:rsidP="00661DE4">
      <w:r>
        <w:t>The impacts of the changes on Wyndham venues will be:</w:t>
      </w:r>
    </w:p>
    <w:p w14:paraId="29D5BF1C" w14:textId="77777777" w:rsidR="00661DE4" w:rsidRDefault="00661DE4" w:rsidP="00661DE4">
      <w:pPr>
        <w:pStyle w:val="ListParagraph"/>
        <w:numPr>
          <w:ilvl w:val="0"/>
          <w:numId w:val="11"/>
        </w:numPr>
        <w:spacing w:after="200" w:line="276" w:lineRule="auto"/>
      </w:pPr>
      <w:r>
        <w:t>T</w:t>
      </w:r>
      <w:r w:rsidRPr="006D1CBE">
        <w:t>he total increase in tax revenue the Victorian Government would receive under the new tax regime from Wyndham venues is $884,042</w:t>
      </w:r>
      <w:r>
        <w:t>.84</w:t>
      </w:r>
      <w:r w:rsidRPr="006D1CBE">
        <w:t>.</w:t>
      </w:r>
    </w:p>
    <w:p w14:paraId="08114EB8" w14:textId="77777777" w:rsidR="00661DE4" w:rsidRDefault="00661DE4" w:rsidP="00661DE4">
      <w:pPr>
        <w:pStyle w:val="ListParagraph"/>
        <w:numPr>
          <w:ilvl w:val="0"/>
          <w:numId w:val="11"/>
        </w:numPr>
        <w:spacing w:after="200" w:line="276" w:lineRule="auto"/>
      </w:pPr>
      <w:r>
        <w:t>All hotels are affected by the tax structure changes. The total increase paid by the seven hotels would be $643,171.35.</w:t>
      </w:r>
    </w:p>
    <w:p w14:paraId="1B05AF81" w14:textId="77777777" w:rsidR="00661DE4" w:rsidRDefault="00661DE4" w:rsidP="00661DE4">
      <w:pPr>
        <w:pStyle w:val="ListParagraph"/>
        <w:numPr>
          <w:ilvl w:val="0"/>
          <w:numId w:val="11"/>
        </w:numPr>
        <w:spacing w:after="200" w:line="276" w:lineRule="auto"/>
      </w:pPr>
      <w:r>
        <w:t>Of the six clubs taxes would only increase for the Tigers Clubhouse. Its increase would be $200,871.49.</w:t>
      </w:r>
    </w:p>
    <w:p w14:paraId="442AA65B" w14:textId="77777777" w:rsidR="00661DE4" w:rsidRDefault="00661DE4" w:rsidP="00661DE4">
      <w:pPr>
        <w:pStyle w:val="ListParagraph"/>
        <w:numPr>
          <w:ilvl w:val="0"/>
          <w:numId w:val="11"/>
        </w:numPr>
        <w:spacing w:after="200" w:line="276" w:lineRule="auto"/>
      </w:pPr>
      <w:r>
        <w:t>The effective tax rate across all Wyndham venues is now 38.6%. In 2022 this would be 39.4% based on 2016/17 EGM revenue.</w:t>
      </w:r>
    </w:p>
    <w:p w14:paraId="333CB744" w14:textId="77777777" w:rsidR="00661DE4" w:rsidRDefault="00661DE4" w:rsidP="00661DE4">
      <w:pPr>
        <w:pStyle w:val="ListParagraph"/>
        <w:numPr>
          <w:ilvl w:val="0"/>
          <w:numId w:val="11"/>
        </w:numPr>
        <w:spacing w:after="200" w:line="276" w:lineRule="auto"/>
      </w:pPr>
      <w:r>
        <w:lastRenderedPageBreak/>
        <w:t xml:space="preserve">The effective tax rate across all hotels would rise from 44.3% to 45.4%. </w:t>
      </w:r>
    </w:p>
    <w:p w14:paraId="3B4F8D1C" w14:textId="77777777" w:rsidR="00661DE4" w:rsidRPr="006D1CBE" w:rsidRDefault="00661DE4" w:rsidP="00661DE4">
      <w:pPr>
        <w:pStyle w:val="ListParagraph"/>
        <w:numPr>
          <w:ilvl w:val="0"/>
          <w:numId w:val="11"/>
        </w:numPr>
        <w:spacing w:after="200" w:line="276" w:lineRule="auto"/>
      </w:pPr>
      <w:r>
        <w:t>For clubs the effective tax rate would rise from 28.2% to 28.8%.</w:t>
      </w:r>
    </w:p>
    <w:tbl>
      <w:tblPr>
        <w:tblW w:w="8364" w:type="dxa"/>
        <w:tblLayout w:type="fixed"/>
        <w:tblCellMar>
          <w:left w:w="0" w:type="dxa"/>
          <w:right w:w="0" w:type="dxa"/>
        </w:tblCellMar>
        <w:tblLook w:val="04A0" w:firstRow="1" w:lastRow="0" w:firstColumn="1" w:lastColumn="0" w:noHBand="0" w:noVBand="1"/>
      </w:tblPr>
      <w:tblGrid>
        <w:gridCol w:w="20"/>
        <w:gridCol w:w="2248"/>
        <w:gridCol w:w="1560"/>
        <w:gridCol w:w="1417"/>
        <w:gridCol w:w="1134"/>
        <w:gridCol w:w="992"/>
        <w:gridCol w:w="993"/>
      </w:tblGrid>
      <w:tr w:rsidR="00661DE4" w:rsidRPr="00CA4887" w14:paraId="08930C0B" w14:textId="77777777" w:rsidTr="00661DE4">
        <w:tc>
          <w:tcPr>
            <w:tcW w:w="20" w:type="dxa"/>
            <w:tcBorders>
              <w:top w:val="single" w:sz="4" w:space="0" w:color="auto"/>
              <w:bottom w:val="single" w:sz="4" w:space="0" w:color="auto"/>
            </w:tcBorders>
          </w:tcPr>
          <w:p w14:paraId="75E54A1A" w14:textId="77777777" w:rsidR="00661DE4" w:rsidRPr="00CA4887" w:rsidRDefault="00661DE4" w:rsidP="00661DE4">
            <w:pPr>
              <w:spacing w:after="0" w:line="240" w:lineRule="auto"/>
              <w:rPr>
                <w:b/>
                <w:bCs/>
                <w:sz w:val="16"/>
                <w:szCs w:val="16"/>
              </w:rPr>
            </w:pPr>
          </w:p>
        </w:tc>
        <w:tc>
          <w:tcPr>
            <w:tcW w:w="2248" w:type="dxa"/>
            <w:tcBorders>
              <w:top w:val="single" w:sz="4" w:space="0" w:color="auto"/>
              <w:bottom w:val="single" w:sz="4" w:space="0" w:color="auto"/>
            </w:tcBorders>
            <w:noWrap/>
            <w:tcMar>
              <w:top w:w="0" w:type="dxa"/>
              <w:left w:w="108" w:type="dxa"/>
              <w:bottom w:w="0" w:type="dxa"/>
              <w:right w:w="108" w:type="dxa"/>
            </w:tcMar>
            <w:hideMark/>
          </w:tcPr>
          <w:p w14:paraId="7858CCF7" w14:textId="77777777" w:rsidR="00661DE4" w:rsidRPr="00CA4887" w:rsidRDefault="00661DE4" w:rsidP="00661DE4">
            <w:pPr>
              <w:spacing w:after="0" w:line="240" w:lineRule="auto"/>
              <w:rPr>
                <w:b/>
                <w:bCs/>
                <w:sz w:val="16"/>
                <w:szCs w:val="16"/>
              </w:rPr>
            </w:pPr>
          </w:p>
        </w:tc>
        <w:tc>
          <w:tcPr>
            <w:tcW w:w="1560" w:type="dxa"/>
            <w:tcBorders>
              <w:top w:val="single" w:sz="4" w:space="0" w:color="auto"/>
              <w:bottom w:val="single" w:sz="4" w:space="0" w:color="auto"/>
            </w:tcBorders>
            <w:tcMar>
              <w:top w:w="0" w:type="dxa"/>
              <w:left w:w="108" w:type="dxa"/>
              <w:bottom w:w="0" w:type="dxa"/>
              <w:right w:w="108" w:type="dxa"/>
            </w:tcMar>
            <w:hideMark/>
          </w:tcPr>
          <w:p w14:paraId="01BC13F3" w14:textId="77777777" w:rsidR="00661DE4" w:rsidRPr="00CA4887" w:rsidRDefault="00661DE4" w:rsidP="00661DE4">
            <w:pPr>
              <w:spacing w:after="0" w:line="240" w:lineRule="auto"/>
              <w:rPr>
                <w:b/>
                <w:bCs/>
                <w:sz w:val="16"/>
                <w:szCs w:val="16"/>
              </w:rPr>
            </w:pPr>
            <w:r w:rsidRPr="00CA4887">
              <w:rPr>
                <w:b/>
                <w:bCs/>
                <w:sz w:val="16"/>
                <w:szCs w:val="16"/>
              </w:rPr>
              <w:t>Tax Total 2016/17 (current tax regime)</w:t>
            </w:r>
          </w:p>
        </w:tc>
        <w:tc>
          <w:tcPr>
            <w:tcW w:w="1417" w:type="dxa"/>
            <w:tcBorders>
              <w:top w:val="single" w:sz="4" w:space="0" w:color="auto"/>
              <w:bottom w:val="single" w:sz="4" w:space="0" w:color="auto"/>
            </w:tcBorders>
            <w:tcMar>
              <w:top w:w="0" w:type="dxa"/>
              <w:left w:w="108" w:type="dxa"/>
              <w:bottom w:w="0" w:type="dxa"/>
              <w:right w:w="108" w:type="dxa"/>
            </w:tcMar>
            <w:hideMark/>
          </w:tcPr>
          <w:p w14:paraId="2755FA44" w14:textId="77777777" w:rsidR="00661DE4" w:rsidRPr="00CA4887" w:rsidRDefault="00661DE4" w:rsidP="00661DE4">
            <w:pPr>
              <w:spacing w:after="0" w:line="240" w:lineRule="auto"/>
              <w:rPr>
                <w:b/>
                <w:bCs/>
                <w:sz w:val="16"/>
                <w:szCs w:val="16"/>
              </w:rPr>
            </w:pPr>
            <w:r w:rsidRPr="00CA4887">
              <w:rPr>
                <w:b/>
                <w:bCs/>
                <w:sz w:val="16"/>
                <w:szCs w:val="16"/>
              </w:rPr>
              <w:t>Tax Total 2016-17 (2022 tax regime)</w:t>
            </w:r>
          </w:p>
        </w:tc>
        <w:tc>
          <w:tcPr>
            <w:tcW w:w="1134" w:type="dxa"/>
            <w:tcBorders>
              <w:top w:val="single" w:sz="4" w:space="0" w:color="auto"/>
              <w:bottom w:val="single" w:sz="4" w:space="0" w:color="auto"/>
            </w:tcBorders>
            <w:tcMar>
              <w:top w:w="0" w:type="dxa"/>
              <w:left w:w="108" w:type="dxa"/>
              <w:bottom w:w="0" w:type="dxa"/>
              <w:right w:w="108" w:type="dxa"/>
            </w:tcMar>
            <w:hideMark/>
          </w:tcPr>
          <w:p w14:paraId="286EC3E5" w14:textId="77777777" w:rsidR="00661DE4" w:rsidRPr="00CA4887" w:rsidRDefault="00661DE4" w:rsidP="00661DE4">
            <w:pPr>
              <w:spacing w:after="0" w:line="240" w:lineRule="auto"/>
              <w:rPr>
                <w:b/>
                <w:bCs/>
                <w:sz w:val="16"/>
                <w:szCs w:val="16"/>
              </w:rPr>
            </w:pPr>
            <w:r w:rsidRPr="00CA4887">
              <w:rPr>
                <w:b/>
                <w:bCs/>
                <w:sz w:val="16"/>
                <w:szCs w:val="16"/>
              </w:rPr>
              <w:t>Tax increase</w:t>
            </w:r>
          </w:p>
        </w:tc>
        <w:tc>
          <w:tcPr>
            <w:tcW w:w="992" w:type="dxa"/>
            <w:tcBorders>
              <w:top w:val="single" w:sz="4" w:space="0" w:color="auto"/>
              <w:bottom w:val="single" w:sz="4" w:space="0" w:color="auto"/>
            </w:tcBorders>
          </w:tcPr>
          <w:p w14:paraId="3C5DF3B8" w14:textId="77777777" w:rsidR="00661DE4" w:rsidRPr="00CA4887" w:rsidRDefault="00661DE4" w:rsidP="00661DE4">
            <w:pPr>
              <w:spacing w:after="0" w:line="240" w:lineRule="auto"/>
              <w:rPr>
                <w:b/>
                <w:bCs/>
                <w:sz w:val="16"/>
                <w:szCs w:val="16"/>
              </w:rPr>
            </w:pPr>
            <w:r w:rsidRPr="00CA4887">
              <w:rPr>
                <w:b/>
                <w:bCs/>
                <w:sz w:val="16"/>
                <w:szCs w:val="16"/>
              </w:rPr>
              <w:t>Effective tax rate (current tax regime)</w:t>
            </w:r>
          </w:p>
        </w:tc>
        <w:tc>
          <w:tcPr>
            <w:tcW w:w="993" w:type="dxa"/>
            <w:tcBorders>
              <w:top w:val="single" w:sz="4" w:space="0" w:color="auto"/>
              <w:bottom w:val="single" w:sz="4" w:space="0" w:color="auto"/>
            </w:tcBorders>
          </w:tcPr>
          <w:p w14:paraId="7B5BB747" w14:textId="77777777" w:rsidR="00661DE4" w:rsidRPr="00CA4887" w:rsidRDefault="00661DE4" w:rsidP="00661DE4">
            <w:pPr>
              <w:spacing w:after="0" w:line="240" w:lineRule="auto"/>
              <w:rPr>
                <w:b/>
                <w:bCs/>
                <w:sz w:val="16"/>
                <w:szCs w:val="16"/>
              </w:rPr>
            </w:pPr>
            <w:r w:rsidRPr="00CA4887">
              <w:rPr>
                <w:b/>
                <w:bCs/>
                <w:sz w:val="16"/>
                <w:szCs w:val="16"/>
              </w:rPr>
              <w:t>Effective tax rate (2022 tax regime)</w:t>
            </w:r>
          </w:p>
        </w:tc>
      </w:tr>
      <w:tr w:rsidR="00661DE4" w:rsidRPr="00CA4887" w14:paraId="12BE0417" w14:textId="77777777" w:rsidTr="00661DE4">
        <w:tc>
          <w:tcPr>
            <w:tcW w:w="2268" w:type="dxa"/>
            <w:gridSpan w:val="2"/>
            <w:tcBorders>
              <w:top w:val="single" w:sz="4" w:space="0" w:color="auto"/>
            </w:tcBorders>
          </w:tcPr>
          <w:p w14:paraId="0C41AF2E" w14:textId="77777777" w:rsidR="00661DE4" w:rsidRPr="00CA4887" w:rsidRDefault="00661DE4" w:rsidP="00661DE4">
            <w:pPr>
              <w:spacing w:after="0" w:line="240" w:lineRule="auto"/>
              <w:rPr>
                <w:i/>
                <w:sz w:val="16"/>
                <w:szCs w:val="16"/>
              </w:rPr>
            </w:pPr>
            <w:r w:rsidRPr="00CA4887">
              <w:rPr>
                <w:i/>
                <w:sz w:val="16"/>
                <w:szCs w:val="16"/>
              </w:rPr>
              <w:t>Hotels</w:t>
            </w:r>
          </w:p>
        </w:tc>
        <w:tc>
          <w:tcPr>
            <w:tcW w:w="1560" w:type="dxa"/>
            <w:tcBorders>
              <w:top w:val="single" w:sz="4" w:space="0" w:color="auto"/>
            </w:tcBorders>
            <w:noWrap/>
            <w:tcMar>
              <w:top w:w="0" w:type="dxa"/>
              <w:left w:w="108" w:type="dxa"/>
              <w:bottom w:w="0" w:type="dxa"/>
              <w:right w:w="108" w:type="dxa"/>
            </w:tcMar>
          </w:tcPr>
          <w:p w14:paraId="4EEA3F7E" w14:textId="77777777" w:rsidR="00661DE4" w:rsidRPr="00CA4887" w:rsidRDefault="00661DE4" w:rsidP="00661DE4">
            <w:pPr>
              <w:spacing w:after="0" w:line="240" w:lineRule="auto"/>
              <w:rPr>
                <w:i/>
                <w:sz w:val="16"/>
                <w:szCs w:val="16"/>
              </w:rPr>
            </w:pPr>
          </w:p>
        </w:tc>
        <w:tc>
          <w:tcPr>
            <w:tcW w:w="1417" w:type="dxa"/>
            <w:tcBorders>
              <w:top w:val="single" w:sz="4" w:space="0" w:color="auto"/>
            </w:tcBorders>
            <w:noWrap/>
            <w:tcMar>
              <w:top w:w="0" w:type="dxa"/>
              <w:left w:w="108" w:type="dxa"/>
              <w:bottom w:w="0" w:type="dxa"/>
              <w:right w:w="108" w:type="dxa"/>
            </w:tcMar>
          </w:tcPr>
          <w:p w14:paraId="0B929F11" w14:textId="77777777" w:rsidR="00661DE4" w:rsidRPr="00CA4887" w:rsidRDefault="00661DE4" w:rsidP="00661DE4">
            <w:pPr>
              <w:spacing w:after="0" w:line="240" w:lineRule="auto"/>
              <w:rPr>
                <w:i/>
                <w:sz w:val="16"/>
                <w:szCs w:val="16"/>
              </w:rPr>
            </w:pPr>
          </w:p>
        </w:tc>
        <w:tc>
          <w:tcPr>
            <w:tcW w:w="1134" w:type="dxa"/>
            <w:tcBorders>
              <w:top w:val="single" w:sz="4" w:space="0" w:color="auto"/>
            </w:tcBorders>
            <w:noWrap/>
            <w:tcMar>
              <w:top w:w="0" w:type="dxa"/>
              <w:left w:w="108" w:type="dxa"/>
              <w:bottom w:w="0" w:type="dxa"/>
              <w:right w:w="108" w:type="dxa"/>
            </w:tcMar>
          </w:tcPr>
          <w:p w14:paraId="12ECFDEF" w14:textId="77777777" w:rsidR="00661DE4" w:rsidRPr="00CA4887" w:rsidRDefault="00661DE4" w:rsidP="00661DE4">
            <w:pPr>
              <w:spacing w:after="0" w:line="240" w:lineRule="auto"/>
              <w:rPr>
                <w:i/>
                <w:sz w:val="16"/>
                <w:szCs w:val="16"/>
              </w:rPr>
            </w:pPr>
          </w:p>
        </w:tc>
        <w:tc>
          <w:tcPr>
            <w:tcW w:w="992" w:type="dxa"/>
            <w:tcBorders>
              <w:top w:val="single" w:sz="4" w:space="0" w:color="auto"/>
            </w:tcBorders>
          </w:tcPr>
          <w:p w14:paraId="28D67A7D" w14:textId="77777777" w:rsidR="00661DE4" w:rsidRPr="00CA4887" w:rsidRDefault="00661DE4" w:rsidP="00661DE4">
            <w:pPr>
              <w:spacing w:after="0" w:line="240" w:lineRule="auto"/>
              <w:rPr>
                <w:i/>
                <w:sz w:val="16"/>
                <w:szCs w:val="16"/>
              </w:rPr>
            </w:pPr>
          </w:p>
        </w:tc>
        <w:tc>
          <w:tcPr>
            <w:tcW w:w="993" w:type="dxa"/>
            <w:tcBorders>
              <w:top w:val="single" w:sz="4" w:space="0" w:color="auto"/>
            </w:tcBorders>
          </w:tcPr>
          <w:p w14:paraId="4725DDE2" w14:textId="77777777" w:rsidR="00661DE4" w:rsidRPr="00CA4887" w:rsidRDefault="00661DE4" w:rsidP="00661DE4">
            <w:pPr>
              <w:spacing w:after="0" w:line="240" w:lineRule="auto"/>
              <w:rPr>
                <w:i/>
                <w:sz w:val="16"/>
                <w:szCs w:val="16"/>
              </w:rPr>
            </w:pPr>
          </w:p>
        </w:tc>
      </w:tr>
      <w:tr w:rsidR="00661DE4" w:rsidRPr="00CA4887" w14:paraId="0A5E4760" w14:textId="77777777" w:rsidTr="00661DE4">
        <w:tc>
          <w:tcPr>
            <w:tcW w:w="20" w:type="dxa"/>
          </w:tcPr>
          <w:p w14:paraId="1EAFA9CB" w14:textId="77777777" w:rsidR="00661DE4" w:rsidRPr="00CA4887" w:rsidRDefault="00661DE4" w:rsidP="00661DE4">
            <w:pPr>
              <w:spacing w:after="0" w:line="240" w:lineRule="auto"/>
              <w:rPr>
                <w:sz w:val="16"/>
                <w:szCs w:val="16"/>
              </w:rPr>
            </w:pPr>
          </w:p>
        </w:tc>
        <w:tc>
          <w:tcPr>
            <w:tcW w:w="2248" w:type="dxa"/>
            <w:noWrap/>
            <w:tcMar>
              <w:top w:w="0" w:type="dxa"/>
              <w:left w:w="108" w:type="dxa"/>
              <w:bottom w:w="0" w:type="dxa"/>
              <w:right w:w="108" w:type="dxa"/>
            </w:tcMar>
            <w:hideMark/>
          </w:tcPr>
          <w:p w14:paraId="54119681" w14:textId="77777777" w:rsidR="00661DE4" w:rsidRPr="00CA4887" w:rsidRDefault="00661DE4" w:rsidP="00661DE4">
            <w:pPr>
              <w:spacing w:after="0" w:line="240" w:lineRule="auto"/>
              <w:rPr>
                <w:sz w:val="16"/>
                <w:szCs w:val="16"/>
              </w:rPr>
            </w:pPr>
            <w:r w:rsidRPr="00CA4887">
              <w:rPr>
                <w:sz w:val="16"/>
                <w:szCs w:val="16"/>
              </w:rPr>
              <w:t>Werribee Plaza Tavern</w:t>
            </w:r>
          </w:p>
        </w:tc>
        <w:tc>
          <w:tcPr>
            <w:tcW w:w="1560" w:type="dxa"/>
            <w:noWrap/>
            <w:tcMar>
              <w:top w:w="0" w:type="dxa"/>
              <w:left w:w="108" w:type="dxa"/>
              <w:bottom w:w="0" w:type="dxa"/>
              <w:right w:w="108" w:type="dxa"/>
            </w:tcMar>
            <w:hideMark/>
          </w:tcPr>
          <w:p w14:paraId="41C7B0D3" w14:textId="77777777" w:rsidR="00661DE4" w:rsidRPr="00CA4887" w:rsidRDefault="00661DE4" w:rsidP="00661DE4">
            <w:pPr>
              <w:spacing w:after="0" w:line="240" w:lineRule="auto"/>
              <w:rPr>
                <w:sz w:val="16"/>
                <w:szCs w:val="16"/>
              </w:rPr>
            </w:pPr>
            <w:r w:rsidRPr="00CA4887">
              <w:rPr>
                <w:sz w:val="16"/>
                <w:szCs w:val="16"/>
              </w:rPr>
              <w:t>$5,938,911.19</w:t>
            </w:r>
          </w:p>
        </w:tc>
        <w:tc>
          <w:tcPr>
            <w:tcW w:w="1417" w:type="dxa"/>
            <w:noWrap/>
            <w:tcMar>
              <w:top w:w="0" w:type="dxa"/>
              <w:left w:w="108" w:type="dxa"/>
              <w:bottom w:w="0" w:type="dxa"/>
              <w:right w:w="108" w:type="dxa"/>
            </w:tcMar>
            <w:hideMark/>
          </w:tcPr>
          <w:p w14:paraId="24D75FF4" w14:textId="77777777" w:rsidR="00661DE4" w:rsidRPr="00CA4887" w:rsidRDefault="00661DE4" w:rsidP="00661DE4">
            <w:pPr>
              <w:spacing w:after="0" w:line="240" w:lineRule="auto"/>
              <w:rPr>
                <w:sz w:val="16"/>
                <w:szCs w:val="16"/>
              </w:rPr>
            </w:pPr>
            <w:r w:rsidRPr="00CA4887">
              <w:rPr>
                <w:sz w:val="16"/>
                <w:szCs w:val="16"/>
              </w:rPr>
              <w:t>$6,098,179.86</w:t>
            </w:r>
          </w:p>
        </w:tc>
        <w:tc>
          <w:tcPr>
            <w:tcW w:w="1134" w:type="dxa"/>
            <w:noWrap/>
            <w:tcMar>
              <w:top w:w="0" w:type="dxa"/>
              <w:left w:w="108" w:type="dxa"/>
              <w:bottom w:w="0" w:type="dxa"/>
              <w:right w:w="108" w:type="dxa"/>
            </w:tcMar>
            <w:hideMark/>
          </w:tcPr>
          <w:p w14:paraId="7588CA2F" w14:textId="77777777" w:rsidR="00661DE4" w:rsidRPr="00CA4887" w:rsidRDefault="00661DE4" w:rsidP="00661DE4">
            <w:pPr>
              <w:spacing w:after="0" w:line="240" w:lineRule="auto"/>
              <w:rPr>
                <w:sz w:val="16"/>
                <w:szCs w:val="16"/>
              </w:rPr>
            </w:pPr>
            <w:r w:rsidRPr="00CA4887">
              <w:rPr>
                <w:sz w:val="16"/>
                <w:szCs w:val="16"/>
              </w:rPr>
              <w:t>$159,268.67</w:t>
            </w:r>
          </w:p>
        </w:tc>
        <w:tc>
          <w:tcPr>
            <w:tcW w:w="992" w:type="dxa"/>
          </w:tcPr>
          <w:p w14:paraId="1BC17645" w14:textId="77777777" w:rsidR="00661DE4" w:rsidRPr="00CA4887" w:rsidRDefault="00661DE4" w:rsidP="00661DE4">
            <w:pPr>
              <w:spacing w:after="0" w:line="240" w:lineRule="auto"/>
              <w:rPr>
                <w:sz w:val="16"/>
                <w:szCs w:val="16"/>
              </w:rPr>
            </w:pPr>
            <w:r w:rsidRPr="00CA4887">
              <w:rPr>
                <w:sz w:val="16"/>
                <w:szCs w:val="16"/>
              </w:rPr>
              <w:t>46.2%</w:t>
            </w:r>
          </w:p>
        </w:tc>
        <w:tc>
          <w:tcPr>
            <w:tcW w:w="993" w:type="dxa"/>
          </w:tcPr>
          <w:p w14:paraId="67E2FF05" w14:textId="77777777" w:rsidR="00661DE4" w:rsidRPr="00CA4887" w:rsidRDefault="00661DE4" w:rsidP="00661DE4">
            <w:pPr>
              <w:spacing w:after="0" w:line="240" w:lineRule="auto"/>
              <w:rPr>
                <w:sz w:val="16"/>
                <w:szCs w:val="16"/>
              </w:rPr>
            </w:pPr>
            <w:r w:rsidRPr="00CA4887">
              <w:rPr>
                <w:sz w:val="16"/>
                <w:szCs w:val="16"/>
              </w:rPr>
              <w:t>47.5%</w:t>
            </w:r>
          </w:p>
        </w:tc>
      </w:tr>
      <w:tr w:rsidR="00661DE4" w:rsidRPr="00CA4887" w14:paraId="00C9072D" w14:textId="77777777" w:rsidTr="00661DE4">
        <w:tc>
          <w:tcPr>
            <w:tcW w:w="20" w:type="dxa"/>
          </w:tcPr>
          <w:p w14:paraId="5DE4D835" w14:textId="77777777" w:rsidR="00661DE4" w:rsidRPr="00CA4887" w:rsidRDefault="00661DE4" w:rsidP="00661DE4">
            <w:pPr>
              <w:spacing w:after="0" w:line="240" w:lineRule="auto"/>
              <w:rPr>
                <w:sz w:val="16"/>
                <w:szCs w:val="16"/>
              </w:rPr>
            </w:pPr>
          </w:p>
        </w:tc>
        <w:tc>
          <w:tcPr>
            <w:tcW w:w="2248" w:type="dxa"/>
            <w:noWrap/>
            <w:tcMar>
              <w:top w:w="0" w:type="dxa"/>
              <w:left w:w="108" w:type="dxa"/>
              <w:bottom w:w="0" w:type="dxa"/>
              <w:right w:w="108" w:type="dxa"/>
            </w:tcMar>
            <w:hideMark/>
          </w:tcPr>
          <w:p w14:paraId="2F475B25" w14:textId="77777777" w:rsidR="00661DE4" w:rsidRPr="00CA4887" w:rsidRDefault="00661DE4" w:rsidP="00661DE4">
            <w:pPr>
              <w:spacing w:after="0" w:line="240" w:lineRule="auto"/>
              <w:rPr>
                <w:sz w:val="16"/>
                <w:szCs w:val="16"/>
              </w:rPr>
            </w:pPr>
            <w:r w:rsidRPr="00CA4887">
              <w:rPr>
                <w:sz w:val="16"/>
                <w:szCs w:val="16"/>
              </w:rPr>
              <w:t>Commercial Taverner</w:t>
            </w:r>
          </w:p>
        </w:tc>
        <w:tc>
          <w:tcPr>
            <w:tcW w:w="1560" w:type="dxa"/>
            <w:noWrap/>
            <w:tcMar>
              <w:top w:w="0" w:type="dxa"/>
              <w:left w:w="108" w:type="dxa"/>
              <w:bottom w:w="0" w:type="dxa"/>
              <w:right w:w="108" w:type="dxa"/>
            </w:tcMar>
            <w:hideMark/>
          </w:tcPr>
          <w:p w14:paraId="5F8077E0" w14:textId="77777777" w:rsidR="00661DE4" w:rsidRPr="00CA4887" w:rsidRDefault="00661DE4" w:rsidP="00661DE4">
            <w:pPr>
              <w:spacing w:after="0" w:line="240" w:lineRule="auto"/>
              <w:rPr>
                <w:sz w:val="16"/>
                <w:szCs w:val="16"/>
              </w:rPr>
            </w:pPr>
            <w:r w:rsidRPr="00CA4887">
              <w:rPr>
                <w:sz w:val="16"/>
                <w:szCs w:val="16"/>
              </w:rPr>
              <w:t>$5,846,004.37</w:t>
            </w:r>
          </w:p>
        </w:tc>
        <w:tc>
          <w:tcPr>
            <w:tcW w:w="1417" w:type="dxa"/>
            <w:noWrap/>
            <w:tcMar>
              <w:top w:w="0" w:type="dxa"/>
              <w:left w:w="108" w:type="dxa"/>
              <w:bottom w:w="0" w:type="dxa"/>
              <w:right w:w="108" w:type="dxa"/>
            </w:tcMar>
            <w:hideMark/>
          </w:tcPr>
          <w:p w14:paraId="5E83B99E" w14:textId="77777777" w:rsidR="00661DE4" w:rsidRPr="00CA4887" w:rsidRDefault="00661DE4" w:rsidP="00661DE4">
            <w:pPr>
              <w:spacing w:after="0" w:line="240" w:lineRule="auto"/>
              <w:rPr>
                <w:sz w:val="16"/>
                <w:szCs w:val="16"/>
              </w:rPr>
            </w:pPr>
            <w:r w:rsidRPr="00CA4887">
              <w:rPr>
                <w:sz w:val="16"/>
                <w:szCs w:val="16"/>
              </w:rPr>
              <w:t>$6,006,310.91</w:t>
            </w:r>
          </w:p>
        </w:tc>
        <w:tc>
          <w:tcPr>
            <w:tcW w:w="1134" w:type="dxa"/>
            <w:noWrap/>
            <w:tcMar>
              <w:top w:w="0" w:type="dxa"/>
              <w:left w:w="108" w:type="dxa"/>
              <w:bottom w:w="0" w:type="dxa"/>
              <w:right w:w="108" w:type="dxa"/>
            </w:tcMar>
            <w:hideMark/>
          </w:tcPr>
          <w:p w14:paraId="7E74DC27" w14:textId="77777777" w:rsidR="00661DE4" w:rsidRPr="00CA4887" w:rsidRDefault="00661DE4" w:rsidP="00661DE4">
            <w:pPr>
              <w:spacing w:after="0" w:line="240" w:lineRule="auto"/>
              <w:rPr>
                <w:sz w:val="16"/>
                <w:szCs w:val="16"/>
              </w:rPr>
            </w:pPr>
            <w:r w:rsidRPr="00CA4887">
              <w:rPr>
                <w:sz w:val="16"/>
                <w:szCs w:val="16"/>
              </w:rPr>
              <w:t>$160,306.54</w:t>
            </w:r>
          </w:p>
        </w:tc>
        <w:tc>
          <w:tcPr>
            <w:tcW w:w="992" w:type="dxa"/>
          </w:tcPr>
          <w:p w14:paraId="642ECABD" w14:textId="77777777" w:rsidR="00661DE4" w:rsidRPr="00CA4887" w:rsidRDefault="00661DE4" w:rsidP="00661DE4">
            <w:pPr>
              <w:spacing w:after="0" w:line="240" w:lineRule="auto"/>
              <w:rPr>
                <w:sz w:val="16"/>
                <w:szCs w:val="16"/>
              </w:rPr>
            </w:pPr>
            <w:r w:rsidRPr="00CA4887">
              <w:rPr>
                <w:sz w:val="16"/>
                <w:szCs w:val="16"/>
              </w:rPr>
              <w:t>46.8%</w:t>
            </w:r>
          </w:p>
        </w:tc>
        <w:tc>
          <w:tcPr>
            <w:tcW w:w="993" w:type="dxa"/>
          </w:tcPr>
          <w:p w14:paraId="72249730" w14:textId="77777777" w:rsidR="00661DE4" w:rsidRPr="00CA4887" w:rsidRDefault="00661DE4" w:rsidP="00661DE4">
            <w:pPr>
              <w:spacing w:after="0" w:line="240" w:lineRule="auto"/>
              <w:rPr>
                <w:sz w:val="16"/>
                <w:szCs w:val="16"/>
              </w:rPr>
            </w:pPr>
            <w:r w:rsidRPr="00CA4887">
              <w:rPr>
                <w:sz w:val="16"/>
                <w:szCs w:val="16"/>
              </w:rPr>
              <w:t>48.1%</w:t>
            </w:r>
          </w:p>
        </w:tc>
      </w:tr>
      <w:tr w:rsidR="00661DE4" w:rsidRPr="00CA4887" w14:paraId="3C36370F" w14:textId="77777777" w:rsidTr="00661DE4">
        <w:tc>
          <w:tcPr>
            <w:tcW w:w="20" w:type="dxa"/>
          </w:tcPr>
          <w:p w14:paraId="3B24EAD7" w14:textId="77777777" w:rsidR="00661DE4" w:rsidRPr="00CA4887" w:rsidRDefault="00661DE4" w:rsidP="00661DE4">
            <w:pPr>
              <w:spacing w:after="0" w:line="240" w:lineRule="auto"/>
              <w:rPr>
                <w:sz w:val="16"/>
                <w:szCs w:val="16"/>
              </w:rPr>
            </w:pPr>
          </w:p>
        </w:tc>
        <w:tc>
          <w:tcPr>
            <w:tcW w:w="2248" w:type="dxa"/>
            <w:noWrap/>
            <w:tcMar>
              <w:top w:w="0" w:type="dxa"/>
              <w:left w:w="108" w:type="dxa"/>
              <w:bottom w:w="0" w:type="dxa"/>
              <w:right w:w="108" w:type="dxa"/>
            </w:tcMar>
            <w:hideMark/>
          </w:tcPr>
          <w:p w14:paraId="12521B5E" w14:textId="77777777" w:rsidR="00661DE4" w:rsidRPr="00CA4887" w:rsidRDefault="00661DE4" w:rsidP="00661DE4">
            <w:pPr>
              <w:spacing w:after="0" w:line="240" w:lineRule="auto"/>
              <w:rPr>
                <w:sz w:val="16"/>
                <w:szCs w:val="16"/>
              </w:rPr>
            </w:pPr>
            <w:r w:rsidRPr="00CA4887">
              <w:rPr>
                <w:sz w:val="16"/>
                <w:szCs w:val="16"/>
              </w:rPr>
              <w:t>Westside Taverner</w:t>
            </w:r>
          </w:p>
        </w:tc>
        <w:tc>
          <w:tcPr>
            <w:tcW w:w="1560" w:type="dxa"/>
            <w:noWrap/>
            <w:tcMar>
              <w:top w:w="0" w:type="dxa"/>
              <w:left w:w="108" w:type="dxa"/>
              <w:bottom w:w="0" w:type="dxa"/>
              <w:right w:w="108" w:type="dxa"/>
            </w:tcMar>
            <w:hideMark/>
          </w:tcPr>
          <w:p w14:paraId="72F09B3E" w14:textId="77777777" w:rsidR="00661DE4" w:rsidRPr="00CA4887" w:rsidRDefault="00661DE4" w:rsidP="00661DE4">
            <w:pPr>
              <w:spacing w:after="0" w:line="240" w:lineRule="auto"/>
              <w:rPr>
                <w:sz w:val="16"/>
                <w:szCs w:val="16"/>
              </w:rPr>
            </w:pPr>
            <w:r w:rsidRPr="00CA4887">
              <w:rPr>
                <w:sz w:val="16"/>
                <w:szCs w:val="16"/>
              </w:rPr>
              <w:t>$3,879,857.81</w:t>
            </w:r>
          </w:p>
        </w:tc>
        <w:tc>
          <w:tcPr>
            <w:tcW w:w="1417" w:type="dxa"/>
            <w:noWrap/>
            <w:tcMar>
              <w:top w:w="0" w:type="dxa"/>
              <w:left w:w="108" w:type="dxa"/>
              <w:bottom w:w="0" w:type="dxa"/>
              <w:right w:w="108" w:type="dxa"/>
            </w:tcMar>
            <w:hideMark/>
          </w:tcPr>
          <w:p w14:paraId="13809F46" w14:textId="77777777" w:rsidR="00661DE4" w:rsidRPr="00CA4887" w:rsidRDefault="00661DE4" w:rsidP="00661DE4">
            <w:pPr>
              <w:spacing w:after="0" w:line="240" w:lineRule="auto"/>
              <w:rPr>
                <w:sz w:val="16"/>
                <w:szCs w:val="16"/>
              </w:rPr>
            </w:pPr>
            <w:r w:rsidRPr="00CA4887">
              <w:rPr>
                <w:sz w:val="16"/>
                <w:szCs w:val="16"/>
              </w:rPr>
              <w:t>$3,962,547.97</w:t>
            </w:r>
          </w:p>
        </w:tc>
        <w:tc>
          <w:tcPr>
            <w:tcW w:w="1134" w:type="dxa"/>
            <w:noWrap/>
            <w:tcMar>
              <w:top w:w="0" w:type="dxa"/>
              <w:left w:w="108" w:type="dxa"/>
              <w:bottom w:w="0" w:type="dxa"/>
              <w:right w:w="108" w:type="dxa"/>
            </w:tcMar>
            <w:hideMark/>
          </w:tcPr>
          <w:p w14:paraId="486AFCBF" w14:textId="77777777" w:rsidR="00661DE4" w:rsidRPr="00CA4887" w:rsidRDefault="00661DE4" w:rsidP="00661DE4">
            <w:pPr>
              <w:spacing w:after="0" w:line="240" w:lineRule="auto"/>
              <w:rPr>
                <w:sz w:val="16"/>
                <w:szCs w:val="16"/>
              </w:rPr>
            </w:pPr>
            <w:r w:rsidRPr="00CA4887">
              <w:rPr>
                <w:sz w:val="16"/>
                <w:szCs w:val="16"/>
              </w:rPr>
              <w:t>$82,690.16</w:t>
            </w:r>
          </w:p>
        </w:tc>
        <w:tc>
          <w:tcPr>
            <w:tcW w:w="992" w:type="dxa"/>
          </w:tcPr>
          <w:p w14:paraId="4B6F0DB1" w14:textId="77777777" w:rsidR="00661DE4" w:rsidRPr="00CA4887" w:rsidRDefault="00661DE4" w:rsidP="00661DE4">
            <w:pPr>
              <w:spacing w:after="0" w:line="240" w:lineRule="auto"/>
              <w:rPr>
                <w:sz w:val="16"/>
                <w:szCs w:val="16"/>
              </w:rPr>
            </w:pPr>
            <w:r w:rsidRPr="00CA4887">
              <w:rPr>
                <w:sz w:val="16"/>
                <w:szCs w:val="16"/>
              </w:rPr>
              <w:t>43.3%</w:t>
            </w:r>
          </w:p>
        </w:tc>
        <w:tc>
          <w:tcPr>
            <w:tcW w:w="993" w:type="dxa"/>
          </w:tcPr>
          <w:p w14:paraId="7E6D2520" w14:textId="77777777" w:rsidR="00661DE4" w:rsidRPr="00CA4887" w:rsidRDefault="00661DE4" w:rsidP="00661DE4">
            <w:pPr>
              <w:spacing w:after="0" w:line="240" w:lineRule="auto"/>
              <w:rPr>
                <w:sz w:val="16"/>
                <w:szCs w:val="16"/>
              </w:rPr>
            </w:pPr>
            <w:r w:rsidRPr="00CA4887">
              <w:rPr>
                <w:sz w:val="16"/>
                <w:szCs w:val="16"/>
              </w:rPr>
              <w:t>44.3%</w:t>
            </w:r>
          </w:p>
        </w:tc>
      </w:tr>
      <w:tr w:rsidR="00661DE4" w:rsidRPr="00CA4887" w14:paraId="17E04F6B" w14:textId="77777777" w:rsidTr="00661DE4">
        <w:tc>
          <w:tcPr>
            <w:tcW w:w="20" w:type="dxa"/>
          </w:tcPr>
          <w:p w14:paraId="06EB0CCD" w14:textId="77777777" w:rsidR="00661DE4" w:rsidRPr="00CA4887" w:rsidRDefault="00661DE4" w:rsidP="00661DE4">
            <w:pPr>
              <w:spacing w:after="0" w:line="240" w:lineRule="auto"/>
              <w:rPr>
                <w:sz w:val="16"/>
                <w:szCs w:val="16"/>
              </w:rPr>
            </w:pPr>
          </w:p>
        </w:tc>
        <w:tc>
          <w:tcPr>
            <w:tcW w:w="2248" w:type="dxa"/>
            <w:noWrap/>
            <w:tcMar>
              <w:top w:w="0" w:type="dxa"/>
              <w:left w:w="108" w:type="dxa"/>
              <w:bottom w:w="0" w:type="dxa"/>
              <w:right w:w="108" w:type="dxa"/>
            </w:tcMar>
            <w:hideMark/>
          </w:tcPr>
          <w:p w14:paraId="0256B97E" w14:textId="77777777" w:rsidR="00661DE4" w:rsidRPr="00CA4887" w:rsidRDefault="00661DE4" w:rsidP="00661DE4">
            <w:pPr>
              <w:spacing w:after="0" w:line="240" w:lineRule="auto"/>
              <w:rPr>
                <w:sz w:val="16"/>
                <w:szCs w:val="16"/>
              </w:rPr>
            </w:pPr>
            <w:r w:rsidRPr="00CA4887">
              <w:rPr>
                <w:sz w:val="16"/>
                <w:szCs w:val="16"/>
              </w:rPr>
              <w:t>Hotel 520 On Sayers</w:t>
            </w:r>
          </w:p>
        </w:tc>
        <w:tc>
          <w:tcPr>
            <w:tcW w:w="1560" w:type="dxa"/>
            <w:noWrap/>
            <w:tcMar>
              <w:top w:w="0" w:type="dxa"/>
              <w:left w:w="108" w:type="dxa"/>
              <w:bottom w:w="0" w:type="dxa"/>
              <w:right w:w="108" w:type="dxa"/>
            </w:tcMar>
            <w:hideMark/>
          </w:tcPr>
          <w:p w14:paraId="5416BFE8" w14:textId="77777777" w:rsidR="00661DE4" w:rsidRPr="00CA4887" w:rsidRDefault="00661DE4" w:rsidP="00661DE4">
            <w:pPr>
              <w:spacing w:after="0" w:line="240" w:lineRule="auto"/>
              <w:rPr>
                <w:sz w:val="16"/>
                <w:szCs w:val="16"/>
              </w:rPr>
            </w:pPr>
            <w:r w:rsidRPr="00CA4887">
              <w:rPr>
                <w:sz w:val="16"/>
                <w:szCs w:val="16"/>
              </w:rPr>
              <w:t>$4,074,208.47</w:t>
            </w:r>
          </w:p>
        </w:tc>
        <w:tc>
          <w:tcPr>
            <w:tcW w:w="1417" w:type="dxa"/>
            <w:noWrap/>
            <w:tcMar>
              <w:top w:w="0" w:type="dxa"/>
              <w:left w:w="108" w:type="dxa"/>
              <w:bottom w:w="0" w:type="dxa"/>
              <w:right w:w="108" w:type="dxa"/>
            </w:tcMar>
            <w:hideMark/>
          </w:tcPr>
          <w:p w14:paraId="07CD1CC6" w14:textId="77777777" w:rsidR="00661DE4" w:rsidRPr="00CA4887" w:rsidRDefault="00661DE4" w:rsidP="00661DE4">
            <w:pPr>
              <w:spacing w:after="0" w:line="240" w:lineRule="auto"/>
              <w:rPr>
                <w:sz w:val="16"/>
                <w:szCs w:val="16"/>
              </w:rPr>
            </w:pPr>
            <w:r w:rsidRPr="00CA4887">
              <w:rPr>
                <w:sz w:val="16"/>
                <w:szCs w:val="16"/>
              </w:rPr>
              <w:t>$4,172,154.54</w:t>
            </w:r>
          </w:p>
        </w:tc>
        <w:tc>
          <w:tcPr>
            <w:tcW w:w="1134" w:type="dxa"/>
            <w:noWrap/>
            <w:tcMar>
              <w:top w:w="0" w:type="dxa"/>
              <w:left w:w="108" w:type="dxa"/>
              <w:bottom w:w="0" w:type="dxa"/>
              <w:right w:w="108" w:type="dxa"/>
            </w:tcMar>
            <w:hideMark/>
          </w:tcPr>
          <w:p w14:paraId="62D59B37" w14:textId="77777777" w:rsidR="00661DE4" w:rsidRPr="00CA4887" w:rsidRDefault="00661DE4" w:rsidP="00661DE4">
            <w:pPr>
              <w:spacing w:after="0" w:line="240" w:lineRule="auto"/>
              <w:rPr>
                <w:sz w:val="16"/>
                <w:szCs w:val="16"/>
              </w:rPr>
            </w:pPr>
            <w:r w:rsidRPr="00CA4887">
              <w:rPr>
                <w:sz w:val="16"/>
                <w:szCs w:val="16"/>
              </w:rPr>
              <w:t>$97,946.07</w:t>
            </w:r>
          </w:p>
        </w:tc>
        <w:tc>
          <w:tcPr>
            <w:tcW w:w="992" w:type="dxa"/>
          </w:tcPr>
          <w:p w14:paraId="37B06B2B" w14:textId="77777777" w:rsidR="00661DE4" w:rsidRPr="00CA4887" w:rsidRDefault="00661DE4" w:rsidP="00661DE4">
            <w:pPr>
              <w:spacing w:after="0" w:line="240" w:lineRule="auto"/>
              <w:rPr>
                <w:sz w:val="16"/>
                <w:szCs w:val="16"/>
              </w:rPr>
            </w:pPr>
            <w:r w:rsidRPr="00CA4887">
              <w:rPr>
                <w:sz w:val="16"/>
                <w:szCs w:val="16"/>
              </w:rPr>
              <w:t>44.4%</w:t>
            </w:r>
          </w:p>
        </w:tc>
        <w:tc>
          <w:tcPr>
            <w:tcW w:w="993" w:type="dxa"/>
          </w:tcPr>
          <w:p w14:paraId="060C1077" w14:textId="77777777" w:rsidR="00661DE4" w:rsidRPr="00CA4887" w:rsidRDefault="00661DE4" w:rsidP="00661DE4">
            <w:pPr>
              <w:spacing w:after="0" w:line="240" w:lineRule="auto"/>
              <w:rPr>
                <w:sz w:val="16"/>
                <w:szCs w:val="16"/>
              </w:rPr>
            </w:pPr>
            <w:r w:rsidRPr="00CA4887">
              <w:rPr>
                <w:sz w:val="16"/>
                <w:szCs w:val="16"/>
              </w:rPr>
              <w:t>45.5%</w:t>
            </w:r>
          </w:p>
        </w:tc>
      </w:tr>
      <w:tr w:rsidR="00661DE4" w:rsidRPr="00CA4887" w14:paraId="31E8F754" w14:textId="77777777" w:rsidTr="00661DE4">
        <w:tc>
          <w:tcPr>
            <w:tcW w:w="20" w:type="dxa"/>
          </w:tcPr>
          <w:p w14:paraId="13537977" w14:textId="77777777" w:rsidR="00661DE4" w:rsidRPr="00CA4887" w:rsidRDefault="00661DE4" w:rsidP="00661DE4">
            <w:pPr>
              <w:spacing w:after="0" w:line="240" w:lineRule="auto"/>
              <w:rPr>
                <w:sz w:val="16"/>
                <w:szCs w:val="16"/>
              </w:rPr>
            </w:pPr>
          </w:p>
        </w:tc>
        <w:tc>
          <w:tcPr>
            <w:tcW w:w="2248" w:type="dxa"/>
            <w:noWrap/>
            <w:tcMar>
              <w:top w:w="0" w:type="dxa"/>
              <w:left w:w="108" w:type="dxa"/>
              <w:bottom w:w="0" w:type="dxa"/>
              <w:right w:w="108" w:type="dxa"/>
            </w:tcMar>
            <w:hideMark/>
          </w:tcPr>
          <w:p w14:paraId="0467898D" w14:textId="77777777" w:rsidR="00661DE4" w:rsidRPr="00CA4887" w:rsidRDefault="00661DE4" w:rsidP="00661DE4">
            <w:pPr>
              <w:spacing w:after="0" w:line="240" w:lineRule="auto"/>
              <w:rPr>
                <w:sz w:val="16"/>
                <w:szCs w:val="16"/>
              </w:rPr>
            </w:pPr>
            <w:r w:rsidRPr="00CA4887">
              <w:rPr>
                <w:sz w:val="16"/>
                <w:szCs w:val="16"/>
              </w:rPr>
              <w:t>Sanctuary Lakes Hotel</w:t>
            </w:r>
          </w:p>
        </w:tc>
        <w:tc>
          <w:tcPr>
            <w:tcW w:w="1560" w:type="dxa"/>
            <w:noWrap/>
            <w:tcMar>
              <w:top w:w="0" w:type="dxa"/>
              <w:left w:w="108" w:type="dxa"/>
              <w:bottom w:w="0" w:type="dxa"/>
              <w:right w:w="108" w:type="dxa"/>
            </w:tcMar>
            <w:hideMark/>
          </w:tcPr>
          <w:p w14:paraId="131485FF" w14:textId="77777777" w:rsidR="00661DE4" w:rsidRPr="00CA4887" w:rsidRDefault="00661DE4" w:rsidP="00661DE4">
            <w:pPr>
              <w:spacing w:after="0" w:line="240" w:lineRule="auto"/>
              <w:rPr>
                <w:sz w:val="16"/>
                <w:szCs w:val="16"/>
              </w:rPr>
            </w:pPr>
            <w:r w:rsidRPr="00CA4887">
              <w:rPr>
                <w:sz w:val="16"/>
                <w:szCs w:val="16"/>
              </w:rPr>
              <w:t>$4,164,519.21</w:t>
            </w:r>
          </w:p>
        </w:tc>
        <w:tc>
          <w:tcPr>
            <w:tcW w:w="1417" w:type="dxa"/>
            <w:noWrap/>
            <w:tcMar>
              <w:top w:w="0" w:type="dxa"/>
              <w:left w:w="108" w:type="dxa"/>
              <w:bottom w:w="0" w:type="dxa"/>
              <w:right w:w="108" w:type="dxa"/>
            </w:tcMar>
            <w:hideMark/>
          </w:tcPr>
          <w:p w14:paraId="15653BB7" w14:textId="77777777" w:rsidR="00661DE4" w:rsidRPr="00CA4887" w:rsidRDefault="00661DE4" w:rsidP="00661DE4">
            <w:pPr>
              <w:spacing w:after="0" w:line="240" w:lineRule="auto"/>
              <w:rPr>
                <w:sz w:val="16"/>
                <w:szCs w:val="16"/>
              </w:rPr>
            </w:pPr>
            <w:r w:rsidRPr="00CA4887">
              <w:rPr>
                <w:sz w:val="16"/>
                <w:szCs w:val="16"/>
              </w:rPr>
              <w:t>$4,259,986.29</w:t>
            </w:r>
          </w:p>
        </w:tc>
        <w:tc>
          <w:tcPr>
            <w:tcW w:w="1134" w:type="dxa"/>
            <w:noWrap/>
            <w:tcMar>
              <w:top w:w="0" w:type="dxa"/>
              <w:left w:w="108" w:type="dxa"/>
              <w:bottom w:w="0" w:type="dxa"/>
              <w:right w:w="108" w:type="dxa"/>
            </w:tcMar>
            <w:hideMark/>
          </w:tcPr>
          <w:p w14:paraId="67B0982C" w14:textId="77777777" w:rsidR="00661DE4" w:rsidRPr="00CA4887" w:rsidRDefault="00661DE4" w:rsidP="00661DE4">
            <w:pPr>
              <w:spacing w:after="0" w:line="240" w:lineRule="auto"/>
              <w:rPr>
                <w:sz w:val="16"/>
                <w:szCs w:val="16"/>
              </w:rPr>
            </w:pPr>
            <w:r w:rsidRPr="00CA4887">
              <w:rPr>
                <w:sz w:val="16"/>
                <w:szCs w:val="16"/>
              </w:rPr>
              <w:t>$95,467.08</w:t>
            </w:r>
          </w:p>
        </w:tc>
        <w:tc>
          <w:tcPr>
            <w:tcW w:w="992" w:type="dxa"/>
          </w:tcPr>
          <w:p w14:paraId="7CCAAEC4" w14:textId="77777777" w:rsidR="00661DE4" w:rsidRPr="00CA4887" w:rsidRDefault="00661DE4" w:rsidP="00661DE4">
            <w:pPr>
              <w:spacing w:after="0" w:line="240" w:lineRule="auto"/>
              <w:rPr>
                <w:sz w:val="16"/>
                <w:szCs w:val="16"/>
              </w:rPr>
            </w:pPr>
            <w:r w:rsidRPr="00CA4887">
              <w:rPr>
                <w:sz w:val="16"/>
                <w:szCs w:val="16"/>
              </w:rPr>
              <w:t>44.0%</w:t>
            </w:r>
          </w:p>
        </w:tc>
        <w:tc>
          <w:tcPr>
            <w:tcW w:w="993" w:type="dxa"/>
          </w:tcPr>
          <w:p w14:paraId="069F8CCB" w14:textId="77777777" w:rsidR="00661DE4" w:rsidRPr="00CA4887" w:rsidRDefault="00661DE4" w:rsidP="00661DE4">
            <w:pPr>
              <w:spacing w:after="0" w:line="240" w:lineRule="auto"/>
              <w:rPr>
                <w:sz w:val="16"/>
                <w:szCs w:val="16"/>
              </w:rPr>
            </w:pPr>
            <w:r w:rsidRPr="00CA4887">
              <w:rPr>
                <w:sz w:val="16"/>
                <w:szCs w:val="16"/>
              </w:rPr>
              <w:t>45.0%</w:t>
            </w:r>
          </w:p>
        </w:tc>
      </w:tr>
      <w:tr w:rsidR="00661DE4" w:rsidRPr="00CA4887" w14:paraId="307B2DC9" w14:textId="77777777" w:rsidTr="00661DE4">
        <w:tc>
          <w:tcPr>
            <w:tcW w:w="20" w:type="dxa"/>
          </w:tcPr>
          <w:p w14:paraId="5165121A" w14:textId="77777777" w:rsidR="00661DE4" w:rsidRPr="00CA4887" w:rsidRDefault="00661DE4" w:rsidP="00661DE4">
            <w:pPr>
              <w:spacing w:after="0" w:line="240" w:lineRule="auto"/>
              <w:rPr>
                <w:sz w:val="16"/>
                <w:szCs w:val="16"/>
              </w:rPr>
            </w:pPr>
          </w:p>
        </w:tc>
        <w:tc>
          <w:tcPr>
            <w:tcW w:w="2248" w:type="dxa"/>
            <w:noWrap/>
            <w:tcMar>
              <w:top w:w="0" w:type="dxa"/>
              <w:left w:w="108" w:type="dxa"/>
              <w:bottom w:w="0" w:type="dxa"/>
              <w:right w:w="108" w:type="dxa"/>
            </w:tcMar>
            <w:hideMark/>
          </w:tcPr>
          <w:p w14:paraId="2D745F51" w14:textId="77777777" w:rsidR="00661DE4" w:rsidRPr="00CA4887" w:rsidRDefault="00661DE4" w:rsidP="00661DE4">
            <w:pPr>
              <w:spacing w:after="0" w:line="240" w:lineRule="auto"/>
              <w:rPr>
                <w:sz w:val="16"/>
                <w:szCs w:val="16"/>
              </w:rPr>
            </w:pPr>
            <w:r w:rsidRPr="00CA4887">
              <w:rPr>
                <w:sz w:val="16"/>
                <w:szCs w:val="16"/>
              </w:rPr>
              <w:t>The Phoenix Hotel</w:t>
            </w:r>
          </w:p>
        </w:tc>
        <w:tc>
          <w:tcPr>
            <w:tcW w:w="1560" w:type="dxa"/>
            <w:noWrap/>
            <w:tcMar>
              <w:top w:w="0" w:type="dxa"/>
              <w:left w:w="108" w:type="dxa"/>
              <w:bottom w:w="0" w:type="dxa"/>
              <w:right w:w="108" w:type="dxa"/>
            </w:tcMar>
            <w:hideMark/>
          </w:tcPr>
          <w:p w14:paraId="6479612B" w14:textId="77777777" w:rsidR="00661DE4" w:rsidRPr="00CA4887" w:rsidRDefault="00661DE4" w:rsidP="00661DE4">
            <w:pPr>
              <w:spacing w:after="0" w:line="240" w:lineRule="auto"/>
              <w:rPr>
                <w:sz w:val="16"/>
                <w:szCs w:val="16"/>
              </w:rPr>
            </w:pPr>
            <w:r w:rsidRPr="00CA4887">
              <w:rPr>
                <w:sz w:val="16"/>
                <w:szCs w:val="16"/>
              </w:rPr>
              <w:t>$2,391,118.26</w:t>
            </w:r>
          </w:p>
        </w:tc>
        <w:tc>
          <w:tcPr>
            <w:tcW w:w="1417" w:type="dxa"/>
            <w:noWrap/>
            <w:tcMar>
              <w:top w:w="0" w:type="dxa"/>
              <w:left w:w="108" w:type="dxa"/>
              <w:bottom w:w="0" w:type="dxa"/>
              <w:right w:w="108" w:type="dxa"/>
            </w:tcMar>
            <w:hideMark/>
          </w:tcPr>
          <w:p w14:paraId="1F91980C" w14:textId="77777777" w:rsidR="00661DE4" w:rsidRPr="00CA4887" w:rsidRDefault="00661DE4" w:rsidP="00661DE4">
            <w:pPr>
              <w:spacing w:after="0" w:line="240" w:lineRule="auto"/>
              <w:rPr>
                <w:sz w:val="16"/>
                <w:szCs w:val="16"/>
              </w:rPr>
            </w:pPr>
            <w:r w:rsidRPr="00CA4887">
              <w:rPr>
                <w:sz w:val="16"/>
                <w:szCs w:val="16"/>
              </w:rPr>
              <w:t>$2,433,117.15</w:t>
            </w:r>
          </w:p>
        </w:tc>
        <w:tc>
          <w:tcPr>
            <w:tcW w:w="1134" w:type="dxa"/>
            <w:noWrap/>
            <w:tcMar>
              <w:top w:w="0" w:type="dxa"/>
              <w:left w:w="108" w:type="dxa"/>
              <w:bottom w:w="0" w:type="dxa"/>
              <w:right w:w="108" w:type="dxa"/>
            </w:tcMar>
            <w:hideMark/>
          </w:tcPr>
          <w:p w14:paraId="2F82CDA4" w14:textId="77777777" w:rsidR="00661DE4" w:rsidRPr="00CA4887" w:rsidRDefault="00661DE4" w:rsidP="00661DE4">
            <w:pPr>
              <w:spacing w:after="0" w:line="240" w:lineRule="auto"/>
              <w:rPr>
                <w:sz w:val="16"/>
                <w:szCs w:val="16"/>
              </w:rPr>
            </w:pPr>
            <w:r w:rsidRPr="00CA4887">
              <w:rPr>
                <w:sz w:val="16"/>
                <w:szCs w:val="16"/>
              </w:rPr>
              <w:t>$41,998.88</w:t>
            </w:r>
          </w:p>
        </w:tc>
        <w:tc>
          <w:tcPr>
            <w:tcW w:w="992" w:type="dxa"/>
          </w:tcPr>
          <w:p w14:paraId="4817D8C8" w14:textId="77777777" w:rsidR="00661DE4" w:rsidRPr="00CA4887" w:rsidRDefault="00661DE4" w:rsidP="00661DE4">
            <w:pPr>
              <w:spacing w:after="0" w:line="240" w:lineRule="auto"/>
              <w:rPr>
                <w:sz w:val="16"/>
                <w:szCs w:val="16"/>
              </w:rPr>
            </w:pPr>
            <w:r w:rsidRPr="00CA4887">
              <w:rPr>
                <w:sz w:val="16"/>
                <w:szCs w:val="16"/>
              </w:rPr>
              <w:t>41.9%</w:t>
            </w:r>
          </w:p>
        </w:tc>
        <w:tc>
          <w:tcPr>
            <w:tcW w:w="993" w:type="dxa"/>
          </w:tcPr>
          <w:p w14:paraId="55E44014" w14:textId="77777777" w:rsidR="00661DE4" w:rsidRPr="00CA4887" w:rsidRDefault="00661DE4" w:rsidP="00661DE4">
            <w:pPr>
              <w:spacing w:after="0" w:line="240" w:lineRule="auto"/>
              <w:rPr>
                <w:sz w:val="16"/>
                <w:szCs w:val="16"/>
              </w:rPr>
            </w:pPr>
            <w:r w:rsidRPr="00CA4887">
              <w:rPr>
                <w:sz w:val="16"/>
                <w:szCs w:val="16"/>
              </w:rPr>
              <w:t>42.7%</w:t>
            </w:r>
          </w:p>
        </w:tc>
      </w:tr>
      <w:tr w:rsidR="00661DE4" w:rsidRPr="00CA4887" w14:paraId="0C3CF5A3" w14:textId="77777777" w:rsidTr="00661DE4">
        <w:tc>
          <w:tcPr>
            <w:tcW w:w="20" w:type="dxa"/>
          </w:tcPr>
          <w:p w14:paraId="00984ECA" w14:textId="77777777" w:rsidR="00661DE4" w:rsidRPr="00CA4887" w:rsidRDefault="00661DE4" w:rsidP="00661DE4">
            <w:pPr>
              <w:spacing w:after="0" w:line="240" w:lineRule="auto"/>
              <w:rPr>
                <w:sz w:val="16"/>
                <w:szCs w:val="16"/>
              </w:rPr>
            </w:pPr>
          </w:p>
        </w:tc>
        <w:tc>
          <w:tcPr>
            <w:tcW w:w="2248" w:type="dxa"/>
            <w:noWrap/>
            <w:tcMar>
              <w:top w:w="0" w:type="dxa"/>
              <w:left w:w="108" w:type="dxa"/>
              <w:bottom w:w="0" w:type="dxa"/>
              <w:right w:w="108" w:type="dxa"/>
            </w:tcMar>
            <w:hideMark/>
          </w:tcPr>
          <w:p w14:paraId="6E135BE5" w14:textId="77777777" w:rsidR="00661DE4" w:rsidRPr="00CA4887" w:rsidRDefault="00661DE4" w:rsidP="00661DE4">
            <w:pPr>
              <w:spacing w:after="0" w:line="240" w:lineRule="auto"/>
              <w:rPr>
                <w:sz w:val="16"/>
                <w:szCs w:val="16"/>
              </w:rPr>
            </w:pPr>
            <w:r w:rsidRPr="00CA4887">
              <w:rPr>
                <w:sz w:val="16"/>
                <w:szCs w:val="16"/>
              </w:rPr>
              <w:t>Racecourse Hotel</w:t>
            </w:r>
          </w:p>
        </w:tc>
        <w:tc>
          <w:tcPr>
            <w:tcW w:w="1560" w:type="dxa"/>
            <w:noWrap/>
            <w:tcMar>
              <w:top w:w="0" w:type="dxa"/>
              <w:left w:w="108" w:type="dxa"/>
              <w:bottom w:w="0" w:type="dxa"/>
              <w:right w:w="108" w:type="dxa"/>
            </w:tcMar>
            <w:hideMark/>
          </w:tcPr>
          <w:p w14:paraId="77B94917" w14:textId="77777777" w:rsidR="00661DE4" w:rsidRPr="00CA4887" w:rsidRDefault="00661DE4" w:rsidP="00661DE4">
            <w:pPr>
              <w:spacing w:after="0" w:line="240" w:lineRule="auto"/>
              <w:rPr>
                <w:sz w:val="16"/>
                <w:szCs w:val="16"/>
              </w:rPr>
            </w:pPr>
            <w:r w:rsidRPr="00CA4887">
              <w:rPr>
                <w:sz w:val="16"/>
                <w:szCs w:val="16"/>
              </w:rPr>
              <w:t>$1,636,028.45</w:t>
            </w:r>
          </w:p>
        </w:tc>
        <w:tc>
          <w:tcPr>
            <w:tcW w:w="1417" w:type="dxa"/>
            <w:noWrap/>
            <w:tcMar>
              <w:top w:w="0" w:type="dxa"/>
              <w:left w:w="108" w:type="dxa"/>
              <w:bottom w:w="0" w:type="dxa"/>
              <w:right w:w="108" w:type="dxa"/>
            </w:tcMar>
            <w:hideMark/>
          </w:tcPr>
          <w:p w14:paraId="1A35E820" w14:textId="77777777" w:rsidR="00661DE4" w:rsidRPr="00CA4887" w:rsidRDefault="00661DE4" w:rsidP="00661DE4">
            <w:pPr>
              <w:spacing w:after="0" w:line="240" w:lineRule="auto"/>
              <w:rPr>
                <w:sz w:val="16"/>
                <w:szCs w:val="16"/>
              </w:rPr>
            </w:pPr>
            <w:r w:rsidRPr="00CA4887">
              <w:rPr>
                <w:sz w:val="16"/>
                <w:szCs w:val="16"/>
              </w:rPr>
              <w:t>$1,641,522.40</w:t>
            </w:r>
          </w:p>
        </w:tc>
        <w:tc>
          <w:tcPr>
            <w:tcW w:w="1134" w:type="dxa"/>
            <w:noWrap/>
            <w:tcMar>
              <w:top w:w="0" w:type="dxa"/>
              <w:left w:w="108" w:type="dxa"/>
              <w:bottom w:w="0" w:type="dxa"/>
              <w:right w:w="108" w:type="dxa"/>
            </w:tcMar>
            <w:hideMark/>
          </w:tcPr>
          <w:p w14:paraId="2116D557" w14:textId="77777777" w:rsidR="00661DE4" w:rsidRPr="00CA4887" w:rsidRDefault="00661DE4" w:rsidP="00661DE4">
            <w:pPr>
              <w:spacing w:after="0" w:line="240" w:lineRule="auto"/>
              <w:rPr>
                <w:sz w:val="16"/>
                <w:szCs w:val="16"/>
              </w:rPr>
            </w:pPr>
            <w:r w:rsidRPr="00CA4887">
              <w:rPr>
                <w:sz w:val="16"/>
                <w:szCs w:val="16"/>
              </w:rPr>
              <w:t>$5,493.95</w:t>
            </w:r>
          </w:p>
        </w:tc>
        <w:tc>
          <w:tcPr>
            <w:tcW w:w="992" w:type="dxa"/>
          </w:tcPr>
          <w:p w14:paraId="0403298D" w14:textId="77777777" w:rsidR="00661DE4" w:rsidRPr="00CA4887" w:rsidRDefault="00661DE4" w:rsidP="00661DE4">
            <w:pPr>
              <w:spacing w:after="0" w:line="240" w:lineRule="auto"/>
              <w:rPr>
                <w:sz w:val="16"/>
                <w:szCs w:val="16"/>
              </w:rPr>
            </w:pPr>
            <w:r w:rsidRPr="00CA4887">
              <w:rPr>
                <w:sz w:val="16"/>
                <w:szCs w:val="16"/>
              </w:rPr>
              <w:t>37.3%</w:t>
            </w:r>
          </w:p>
        </w:tc>
        <w:tc>
          <w:tcPr>
            <w:tcW w:w="993" w:type="dxa"/>
          </w:tcPr>
          <w:p w14:paraId="085DA985" w14:textId="77777777" w:rsidR="00661DE4" w:rsidRPr="00CA4887" w:rsidRDefault="00661DE4" w:rsidP="00661DE4">
            <w:pPr>
              <w:spacing w:after="0" w:line="240" w:lineRule="auto"/>
              <w:rPr>
                <w:sz w:val="16"/>
                <w:szCs w:val="16"/>
              </w:rPr>
            </w:pPr>
            <w:r w:rsidRPr="00CA4887">
              <w:rPr>
                <w:sz w:val="16"/>
                <w:szCs w:val="16"/>
              </w:rPr>
              <w:t>37.4%</w:t>
            </w:r>
          </w:p>
        </w:tc>
      </w:tr>
      <w:tr w:rsidR="00661DE4" w:rsidRPr="00CA4887" w14:paraId="44A0C264" w14:textId="77777777" w:rsidTr="00661DE4">
        <w:tc>
          <w:tcPr>
            <w:tcW w:w="20" w:type="dxa"/>
            <w:tcBorders>
              <w:bottom w:val="dotted" w:sz="4" w:space="0" w:color="auto"/>
            </w:tcBorders>
          </w:tcPr>
          <w:p w14:paraId="19A82909" w14:textId="77777777" w:rsidR="00661DE4" w:rsidRPr="00CA4887" w:rsidRDefault="00661DE4" w:rsidP="00661DE4">
            <w:pPr>
              <w:spacing w:after="0" w:line="240" w:lineRule="auto"/>
              <w:rPr>
                <w:i/>
                <w:sz w:val="16"/>
                <w:szCs w:val="16"/>
              </w:rPr>
            </w:pPr>
          </w:p>
        </w:tc>
        <w:tc>
          <w:tcPr>
            <w:tcW w:w="2248" w:type="dxa"/>
            <w:tcBorders>
              <w:bottom w:val="dotted" w:sz="4" w:space="0" w:color="auto"/>
            </w:tcBorders>
            <w:noWrap/>
            <w:tcMar>
              <w:top w:w="0" w:type="dxa"/>
              <w:left w:w="108" w:type="dxa"/>
              <w:bottom w:w="0" w:type="dxa"/>
              <w:right w:w="108" w:type="dxa"/>
            </w:tcMar>
          </w:tcPr>
          <w:p w14:paraId="633B084C" w14:textId="77777777" w:rsidR="00661DE4" w:rsidRPr="00CA4887" w:rsidRDefault="00661DE4" w:rsidP="00661DE4">
            <w:pPr>
              <w:spacing w:after="0" w:line="240" w:lineRule="auto"/>
              <w:rPr>
                <w:i/>
                <w:sz w:val="16"/>
                <w:szCs w:val="16"/>
              </w:rPr>
            </w:pPr>
            <w:r>
              <w:rPr>
                <w:i/>
                <w:sz w:val="16"/>
                <w:szCs w:val="16"/>
              </w:rPr>
              <w:t>Hotels t</w:t>
            </w:r>
            <w:r w:rsidRPr="00CA4887">
              <w:rPr>
                <w:i/>
                <w:sz w:val="16"/>
                <w:szCs w:val="16"/>
              </w:rPr>
              <w:t>otal</w:t>
            </w:r>
          </w:p>
        </w:tc>
        <w:tc>
          <w:tcPr>
            <w:tcW w:w="1560" w:type="dxa"/>
            <w:tcBorders>
              <w:bottom w:val="dotted" w:sz="4" w:space="0" w:color="auto"/>
            </w:tcBorders>
            <w:noWrap/>
            <w:tcMar>
              <w:top w:w="0" w:type="dxa"/>
              <w:left w:w="108" w:type="dxa"/>
              <w:bottom w:w="0" w:type="dxa"/>
              <w:right w:w="108" w:type="dxa"/>
            </w:tcMar>
          </w:tcPr>
          <w:p w14:paraId="6ABA3721" w14:textId="77777777" w:rsidR="00661DE4" w:rsidRPr="00CA4887" w:rsidRDefault="00661DE4" w:rsidP="00661DE4">
            <w:pPr>
              <w:spacing w:after="0" w:line="240" w:lineRule="auto"/>
              <w:rPr>
                <w:i/>
                <w:sz w:val="16"/>
                <w:szCs w:val="16"/>
              </w:rPr>
            </w:pPr>
            <w:r w:rsidRPr="00CA4887">
              <w:rPr>
                <w:i/>
                <w:sz w:val="16"/>
                <w:szCs w:val="16"/>
              </w:rPr>
              <w:t>$27,930,647.76</w:t>
            </w:r>
          </w:p>
        </w:tc>
        <w:tc>
          <w:tcPr>
            <w:tcW w:w="1417" w:type="dxa"/>
            <w:tcBorders>
              <w:bottom w:val="dotted" w:sz="4" w:space="0" w:color="auto"/>
            </w:tcBorders>
            <w:noWrap/>
            <w:tcMar>
              <w:top w:w="0" w:type="dxa"/>
              <w:left w:w="108" w:type="dxa"/>
              <w:bottom w:w="0" w:type="dxa"/>
              <w:right w:w="108" w:type="dxa"/>
            </w:tcMar>
          </w:tcPr>
          <w:p w14:paraId="04E1DFEF" w14:textId="77777777" w:rsidR="00661DE4" w:rsidRPr="00CA4887" w:rsidRDefault="00661DE4" w:rsidP="00661DE4">
            <w:pPr>
              <w:spacing w:after="0" w:line="240" w:lineRule="auto"/>
              <w:rPr>
                <w:i/>
                <w:sz w:val="16"/>
                <w:szCs w:val="16"/>
              </w:rPr>
            </w:pPr>
            <w:r w:rsidRPr="00CA4887">
              <w:rPr>
                <w:i/>
                <w:sz w:val="16"/>
                <w:szCs w:val="16"/>
              </w:rPr>
              <w:t>$28,573,819.12</w:t>
            </w:r>
          </w:p>
        </w:tc>
        <w:tc>
          <w:tcPr>
            <w:tcW w:w="1134" w:type="dxa"/>
            <w:tcBorders>
              <w:bottom w:val="dotted" w:sz="4" w:space="0" w:color="auto"/>
            </w:tcBorders>
            <w:noWrap/>
            <w:tcMar>
              <w:top w:w="0" w:type="dxa"/>
              <w:left w:w="108" w:type="dxa"/>
              <w:bottom w:w="0" w:type="dxa"/>
              <w:right w:w="108" w:type="dxa"/>
            </w:tcMar>
          </w:tcPr>
          <w:p w14:paraId="6858795C" w14:textId="77777777" w:rsidR="00661DE4" w:rsidRPr="00CA4887" w:rsidRDefault="00661DE4" w:rsidP="00661DE4">
            <w:pPr>
              <w:spacing w:after="0" w:line="240" w:lineRule="auto"/>
              <w:rPr>
                <w:i/>
                <w:sz w:val="16"/>
                <w:szCs w:val="16"/>
              </w:rPr>
            </w:pPr>
            <w:r w:rsidRPr="00CA4887">
              <w:rPr>
                <w:i/>
                <w:sz w:val="16"/>
                <w:szCs w:val="16"/>
              </w:rPr>
              <w:t>$643,171.35</w:t>
            </w:r>
          </w:p>
        </w:tc>
        <w:tc>
          <w:tcPr>
            <w:tcW w:w="992" w:type="dxa"/>
            <w:tcBorders>
              <w:bottom w:val="dotted" w:sz="4" w:space="0" w:color="auto"/>
            </w:tcBorders>
          </w:tcPr>
          <w:p w14:paraId="2534BEB3" w14:textId="77777777" w:rsidR="00661DE4" w:rsidRPr="00CA4887" w:rsidRDefault="00661DE4" w:rsidP="00661DE4">
            <w:pPr>
              <w:spacing w:after="0" w:line="240" w:lineRule="auto"/>
              <w:rPr>
                <w:i/>
                <w:sz w:val="16"/>
                <w:szCs w:val="16"/>
              </w:rPr>
            </w:pPr>
            <w:r>
              <w:rPr>
                <w:i/>
                <w:sz w:val="16"/>
                <w:szCs w:val="16"/>
              </w:rPr>
              <w:t>44.3%</w:t>
            </w:r>
          </w:p>
        </w:tc>
        <w:tc>
          <w:tcPr>
            <w:tcW w:w="993" w:type="dxa"/>
            <w:tcBorders>
              <w:bottom w:val="dotted" w:sz="4" w:space="0" w:color="auto"/>
            </w:tcBorders>
          </w:tcPr>
          <w:p w14:paraId="7384B1AA" w14:textId="77777777" w:rsidR="00661DE4" w:rsidRPr="00CA4887" w:rsidRDefault="00661DE4" w:rsidP="00661DE4">
            <w:pPr>
              <w:spacing w:after="0" w:line="240" w:lineRule="auto"/>
              <w:rPr>
                <w:i/>
                <w:sz w:val="16"/>
                <w:szCs w:val="16"/>
              </w:rPr>
            </w:pPr>
            <w:r>
              <w:rPr>
                <w:i/>
                <w:sz w:val="16"/>
                <w:szCs w:val="16"/>
              </w:rPr>
              <w:t>45.4%</w:t>
            </w:r>
          </w:p>
        </w:tc>
      </w:tr>
      <w:tr w:rsidR="00661DE4" w:rsidRPr="00CA4887" w14:paraId="0CF3B5BD" w14:textId="77777777" w:rsidTr="00661DE4">
        <w:tc>
          <w:tcPr>
            <w:tcW w:w="2268" w:type="dxa"/>
            <w:gridSpan w:val="2"/>
            <w:tcBorders>
              <w:top w:val="dotted" w:sz="4" w:space="0" w:color="auto"/>
            </w:tcBorders>
          </w:tcPr>
          <w:p w14:paraId="664E4513" w14:textId="77777777" w:rsidR="00661DE4" w:rsidRPr="00CA4887" w:rsidRDefault="00661DE4" w:rsidP="00661DE4">
            <w:pPr>
              <w:spacing w:after="0" w:line="240" w:lineRule="auto"/>
              <w:rPr>
                <w:i/>
                <w:sz w:val="16"/>
                <w:szCs w:val="16"/>
              </w:rPr>
            </w:pPr>
            <w:r w:rsidRPr="00CA4887">
              <w:rPr>
                <w:i/>
                <w:sz w:val="16"/>
                <w:szCs w:val="16"/>
              </w:rPr>
              <w:t>Clubs</w:t>
            </w:r>
          </w:p>
        </w:tc>
        <w:tc>
          <w:tcPr>
            <w:tcW w:w="1560" w:type="dxa"/>
            <w:tcBorders>
              <w:top w:val="dotted" w:sz="4" w:space="0" w:color="auto"/>
            </w:tcBorders>
            <w:noWrap/>
            <w:tcMar>
              <w:top w:w="0" w:type="dxa"/>
              <w:left w:w="108" w:type="dxa"/>
              <w:bottom w:w="0" w:type="dxa"/>
              <w:right w:w="108" w:type="dxa"/>
            </w:tcMar>
          </w:tcPr>
          <w:p w14:paraId="63BCE66E" w14:textId="77777777" w:rsidR="00661DE4" w:rsidRPr="00CA4887" w:rsidRDefault="00661DE4" w:rsidP="00661DE4">
            <w:pPr>
              <w:spacing w:after="0" w:line="240" w:lineRule="auto"/>
              <w:rPr>
                <w:i/>
                <w:sz w:val="16"/>
                <w:szCs w:val="16"/>
              </w:rPr>
            </w:pPr>
          </w:p>
        </w:tc>
        <w:tc>
          <w:tcPr>
            <w:tcW w:w="1417" w:type="dxa"/>
            <w:tcBorders>
              <w:top w:val="dotted" w:sz="4" w:space="0" w:color="auto"/>
            </w:tcBorders>
            <w:noWrap/>
            <w:tcMar>
              <w:top w:w="0" w:type="dxa"/>
              <w:left w:w="108" w:type="dxa"/>
              <w:bottom w:w="0" w:type="dxa"/>
              <w:right w:w="108" w:type="dxa"/>
            </w:tcMar>
          </w:tcPr>
          <w:p w14:paraId="60E105D1" w14:textId="77777777" w:rsidR="00661DE4" w:rsidRPr="00CA4887" w:rsidRDefault="00661DE4" w:rsidP="00661DE4">
            <w:pPr>
              <w:spacing w:after="0" w:line="240" w:lineRule="auto"/>
              <w:rPr>
                <w:i/>
                <w:sz w:val="16"/>
                <w:szCs w:val="16"/>
              </w:rPr>
            </w:pPr>
          </w:p>
        </w:tc>
        <w:tc>
          <w:tcPr>
            <w:tcW w:w="1134" w:type="dxa"/>
            <w:tcBorders>
              <w:top w:val="dotted" w:sz="4" w:space="0" w:color="auto"/>
            </w:tcBorders>
            <w:noWrap/>
            <w:tcMar>
              <w:top w:w="0" w:type="dxa"/>
              <w:left w:w="108" w:type="dxa"/>
              <w:bottom w:w="0" w:type="dxa"/>
              <w:right w:w="108" w:type="dxa"/>
            </w:tcMar>
          </w:tcPr>
          <w:p w14:paraId="33A9066E" w14:textId="77777777" w:rsidR="00661DE4" w:rsidRPr="00CA4887" w:rsidRDefault="00661DE4" w:rsidP="00661DE4">
            <w:pPr>
              <w:spacing w:after="0" w:line="240" w:lineRule="auto"/>
              <w:rPr>
                <w:i/>
                <w:sz w:val="16"/>
                <w:szCs w:val="16"/>
              </w:rPr>
            </w:pPr>
          </w:p>
        </w:tc>
        <w:tc>
          <w:tcPr>
            <w:tcW w:w="992" w:type="dxa"/>
            <w:tcBorders>
              <w:top w:val="dotted" w:sz="4" w:space="0" w:color="auto"/>
            </w:tcBorders>
          </w:tcPr>
          <w:p w14:paraId="76688C30" w14:textId="77777777" w:rsidR="00661DE4" w:rsidRPr="00CA4887" w:rsidRDefault="00661DE4" w:rsidP="00661DE4">
            <w:pPr>
              <w:spacing w:after="0" w:line="240" w:lineRule="auto"/>
              <w:rPr>
                <w:i/>
                <w:sz w:val="16"/>
                <w:szCs w:val="16"/>
              </w:rPr>
            </w:pPr>
          </w:p>
        </w:tc>
        <w:tc>
          <w:tcPr>
            <w:tcW w:w="993" w:type="dxa"/>
            <w:tcBorders>
              <w:top w:val="dotted" w:sz="4" w:space="0" w:color="auto"/>
            </w:tcBorders>
          </w:tcPr>
          <w:p w14:paraId="23D712A9" w14:textId="77777777" w:rsidR="00661DE4" w:rsidRPr="00CA4887" w:rsidRDefault="00661DE4" w:rsidP="00661DE4">
            <w:pPr>
              <w:spacing w:after="0" w:line="240" w:lineRule="auto"/>
              <w:rPr>
                <w:i/>
                <w:sz w:val="16"/>
                <w:szCs w:val="16"/>
              </w:rPr>
            </w:pPr>
          </w:p>
        </w:tc>
      </w:tr>
      <w:tr w:rsidR="00661DE4" w:rsidRPr="00CA4887" w14:paraId="0EEBF01D" w14:textId="77777777" w:rsidTr="00661DE4">
        <w:tc>
          <w:tcPr>
            <w:tcW w:w="20" w:type="dxa"/>
          </w:tcPr>
          <w:p w14:paraId="7C8FCD0D" w14:textId="77777777" w:rsidR="00661DE4" w:rsidRPr="00CA4887" w:rsidRDefault="00661DE4" w:rsidP="00661DE4">
            <w:pPr>
              <w:spacing w:after="0" w:line="240" w:lineRule="auto"/>
              <w:rPr>
                <w:sz w:val="16"/>
                <w:szCs w:val="16"/>
              </w:rPr>
            </w:pPr>
          </w:p>
        </w:tc>
        <w:tc>
          <w:tcPr>
            <w:tcW w:w="2248" w:type="dxa"/>
            <w:noWrap/>
            <w:tcMar>
              <w:top w:w="0" w:type="dxa"/>
              <w:left w:w="108" w:type="dxa"/>
              <w:bottom w:w="0" w:type="dxa"/>
              <w:right w:w="108" w:type="dxa"/>
            </w:tcMar>
            <w:hideMark/>
          </w:tcPr>
          <w:p w14:paraId="33BA712C" w14:textId="77777777" w:rsidR="00661DE4" w:rsidRPr="00CA4887" w:rsidRDefault="00661DE4" w:rsidP="00661DE4">
            <w:pPr>
              <w:spacing w:after="0" w:line="240" w:lineRule="auto"/>
              <w:rPr>
                <w:sz w:val="16"/>
                <w:szCs w:val="16"/>
              </w:rPr>
            </w:pPr>
            <w:r w:rsidRPr="00CA4887">
              <w:rPr>
                <w:sz w:val="16"/>
                <w:szCs w:val="16"/>
              </w:rPr>
              <w:t>The Tigers Clubhouse</w:t>
            </w:r>
          </w:p>
        </w:tc>
        <w:tc>
          <w:tcPr>
            <w:tcW w:w="1560" w:type="dxa"/>
            <w:noWrap/>
            <w:tcMar>
              <w:top w:w="0" w:type="dxa"/>
              <w:left w:w="108" w:type="dxa"/>
              <w:bottom w:w="0" w:type="dxa"/>
              <w:right w:w="108" w:type="dxa"/>
            </w:tcMar>
            <w:hideMark/>
          </w:tcPr>
          <w:p w14:paraId="12946BCB" w14:textId="77777777" w:rsidR="00661DE4" w:rsidRPr="00CA4887" w:rsidRDefault="00661DE4" w:rsidP="00661DE4">
            <w:pPr>
              <w:spacing w:after="0" w:line="240" w:lineRule="auto"/>
              <w:rPr>
                <w:sz w:val="16"/>
                <w:szCs w:val="16"/>
              </w:rPr>
            </w:pPr>
            <w:r w:rsidRPr="00CA4887">
              <w:rPr>
                <w:sz w:val="16"/>
                <w:szCs w:val="16"/>
              </w:rPr>
              <w:t>$3,780,210.62</w:t>
            </w:r>
          </w:p>
        </w:tc>
        <w:tc>
          <w:tcPr>
            <w:tcW w:w="1417" w:type="dxa"/>
            <w:noWrap/>
            <w:tcMar>
              <w:top w:w="0" w:type="dxa"/>
              <w:left w:w="108" w:type="dxa"/>
              <w:bottom w:w="0" w:type="dxa"/>
              <w:right w:w="108" w:type="dxa"/>
            </w:tcMar>
            <w:hideMark/>
          </w:tcPr>
          <w:p w14:paraId="62F8172C" w14:textId="77777777" w:rsidR="00661DE4" w:rsidRPr="00CA4887" w:rsidRDefault="00661DE4" w:rsidP="00661DE4">
            <w:pPr>
              <w:spacing w:after="0" w:line="240" w:lineRule="auto"/>
              <w:rPr>
                <w:sz w:val="16"/>
                <w:szCs w:val="16"/>
              </w:rPr>
            </w:pPr>
            <w:r w:rsidRPr="00CA4887">
              <w:rPr>
                <w:sz w:val="16"/>
                <w:szCs w:val="16"/>
              </w:rPr>
              <w:t>$3,981,082.12</w:t>
            </w:r>
          </w:p>
        </w:tc>
        <w:tc>
          <w:tcPr>
            <w:tcW w:w="1134" w:type="dxa"/>
            <w:noWrap/>
            <w:tcMar>
              <w:top w:w="0" w:type="dxa"/>
              <w:left w:w="108" w:type="dxa"/>
              <w:bottom w:w="0" w:type="dxa"/>
              <w:right w:w="108" w:type="dxa"/>
            </w:tcMar>
            <w:hideMark/>
          </w:tcPr>
          <w:p w14:paraId="629DD750" w14:textId="77777777" w:rsidR="00661DE4" w:rsidRPr="00CA4887" w:rsidRDefault="00661DE4" w:rsidP="00661DE4">
            <w:pPr>
              <w:spacing w:after="0" w:line="240" w:lineRule="auto"/>
              <w:rPr>
                <w:sz w:val="16"/>
                <w:szCs w:val="16"/>
              </w:rPr>
            </w:pPr>
            <w:r w:rsidRPr="00CA4887">
              <w:rPr>
                <w:sz w:val="16"/>
                <w:szCs w:val="16"/>
              </w:rPr>
              <w:t>$200,871.49</w:t>
            </w:r>
          </w:p>
        </w:tc>
        <w:tc>
          <w:tcPr>
            <w:tcW w:w="992" w:type="dxa"/>
          </w:tcPr>
          <w:p w14:paraId="5C59FA38" w14:textId="77777777" w:rsidR="00661DE4" w:rsidRPr="00CA4887" w:rsidRDefault="00661DE4" w:rsidP="00661DE4">
            <w:pPr>
              <w:spacing w:after="0" w:line="240" w:lineRule="auto"/>
              <w:rPr>
                <w:sz w:val="16"/>
                <w:szCs w:val="16"/>
              </w:rPr>
            </w:pPr>
            <w:r w:rsidRPr="00CA4887">
              <w:rPr>
                <w:sz w:val="16"/>
                <w:szCs w:val="16"/>
              </w:rPr>
              <w:t>36.0%</w:t>
            </w:r>
          </w:p>
        </w:tc>
        <w:tc>
          <w:tcPr>
            <w:tcW w:w="993" w:type="dxa"/>
          </w:tcPr>
          <w:p w14:paraId="02E10E3D" w14:textId="77777777" w:rsidR="00661DE4" w:rsidRPr="00CA4887" w:rsidRDefault="00661DE4" w:rsidP="00661DE4">
            <w:pPr>
              <w:spacing w:after="0" w:line="240" w:lineRule="auto"/>
              <w:rPr>
                <w:sz w:val="16"/>
                <w:szCs w:val="16"/>
              </w:rPr>
            </w:pPr>
            <w:r w:rsidRPr="00CA4887">
              <w:rPr>
                <w:sz w:val="16"/>
                <w:szCs w:val="16"/>
              </w:rPr>
              <w:t>37.9%</w:t>
            </w:r>
          </w:p>
        </w:tc>
      </w:tr>
      <w:tr w:rsidR="00661DE4" w:rsidRPr="00CA4887" w14:paraId="7973CEAE" w14:textId="77777777" w:rsidTr="00661DE4">
        <w:tc>
          <w:tcPr>
            <w:tcW w:w="20" w:type="dxa"/>
          </w:tcPr>
          <w:p w14:paraId="0C6733A0" w14:textId="77777777" w:rsidR="00661DE4" w:rsidRPr="00CA4887" w:rsidRDefault="00661DE4" w:rsidP="00661DE4">
            <w:pPr>
              <w:spacing w:after="0" w:line="240" w:lineRule="auto"/>
              <w:rPr>
                <w:sz w:val="16"/>
                <w:szCs w:val="16"/>
              </w:rPr>
            </w:pPr>
          </w:p>
        </w:tc>
        <w:tc>
          <w:tcPr>
            <w:tcW w:w="2248" w:type="dxa"/>
            <w:noWrap/>
            <w:tcMar>
              <w:top w:w="0" w:type="dxa"/>
              <w:left w:w="108" w:type="dxa"/>
              <w:bottom w:w="0" w:type="dxa"/>
              <w:right w:w="108" w:type="dxa"/>
            </w:tcMar>
            <w:hideMark/>
          </w:tcPr>
          <w:p w14:paraId="6E34363F" w14:textId="77777777" w:rsidR="00661DE4" w:rsidRPr="00CA4887" w:rsidRDefault="00661DE4" w:rsidP="00661DE4">
            <w:pPr>
              <w:spacing w:after="0" w:line="240" w:lineRule="auto"/>
              <w:rPr>
                <w:sz w:val="16"/>
                <w:szCs w:val="16"/>
              </w:rPr>
            </w:pPr>
            <w:r w:rsidRPr="00CA4887">
              <w:rPr>
                <w:sz w:val="16"/>
                <w:szCs w:val="16"/>
              </w:rPr>
              <w:t>Italian Sports Club of Werribee</w:t>
            </w:r>
          </w:p>
        </w:tc>
        <w:tc>
          <w:tcPr>
            <w:tcW w:w="1560" w:type="dxa"/>
            <w:noWrap/>
            <w:tcMar>
              <w:top w:w="0" w:type="dxa"/>
              <w:left w:w="108" w:type="dxa"/>
              <w:bottom w:w="0" w:type="dxa"/>
              <w:right w:w="108" w:type="dxa"/>
            </w:tcMar>
            <w:hideMark/>
          </w:tcPr>
          <w:p w14:paraId="641206C5" w14:textId="77777777" w:rsidR="00661DE4" w:rsidRPr="00CA4887" w:rsidRDefault="00661DE4" w:rsidP="00661DE4">
            <w:pPr>
              <w:spacing w:after="0" w:line="240" w:lineRule="auto"/>
              <w:rPr>
                <w:sz w:val="16"/>
                <w:szCs w:val="16"/>
              </w:rPr>
            </w:pPr>
            <w:r w:rsidRPr="00CA4887">
              <w:rPr>
                <w:sz w:val="16"/>
                <w:szCs w:val="16"/>
              </w:rPr>
              <w:t>$1,417,642.75</w:t>
            </w:r>
          </w:p>
        </w:tc>
        <w:tc>
          <w:tcPr>
            <w:tcW w:w="1417" w:type="dxa"/>
            <w:noWrap/>
            <w:tcMar>
              <w:top w:w="0" w:type="dxa"/>
              <w:left w:w="108" w:type="dxa"/>
              <w:bottom w:w="0" w:type="dxa"/>
              <w:right w:w="108" w:type="dxa"/>
            </w:tcMar>
            <w:hideMark/>
          </w:tcPr>
          <w:p w14:paraId="229AA562" w14:textId="77777777" w:rsidR="00661DE4" w:rsidRPr="00CA4887" w:rsidRDefault="00661DE4" w:rsidP="00661DE4">
            <w:pPr>
              <w:spacing w:after="0" w:line="240" w:lineRule="auto"/>
              <w:rPr>
                <w:sz w:val="16"/>
                <w:szCs w:val="16"/>
              </w:rPr>
            </w:pPr>
            <w:r w:rsidRPr="00CA4887">
              <w:rPr>
                <w:sz w:val="16"/>
                <w:szCs w:val="16"/>
              </w:rPr>
              <w:t>$1,417,642.75</w:t>
            </w:r>
          </w:p>
        </w:tc>
        <w:tc>
          <w:tcPr>
            <w:tcW w:w="1134" w:type="dxa"/>
            <w:noWrap/>
            <w:tcMar>
              <w:top w:w="0" w:type="dxa"/>
              <w:left w:w="108" w:type="dxa"/>
              <w:bottom w:w="0" w:type="dxa"/>
              <w:right w:w="108" w:type="dxa"/>
            </w:tcMar>
            <w:hideMark/>
          </w:tcPr>
          <w:p w14:paraId="21C77712" w14:textId="77777777" w:rsidR="00661DE4" w:rsidRPr="00CA4887" w:rsidRDefault="00661DE4" w:rsidP="00661DE4">
            <w:pPr>
              <w:spacing w:after="0" w:line="240" w:lineRule="auto"/>
              <w:rPr>
                <w:sz w:val="16"/>
                <w:szCs w:val="16"/>
              </w:rPr>
            </w:pPr>
            <w:r w:rsidRPr="00CA4887">
              <w:rPr>
                <w:sz w:val="16"/>
                <w:szCs w:val="16"/>
              </w:rPr>
              <w:t>$0.00</w:t>
            </w:r>
          </w:p>
        </w:tc>
        <w:tc>
          <w:tcPr>
            <w:tcW w:w="992" w:type="dxa"/>
          </w:tcPr>
          <w:p w14:paraId="7C2FB88A" w14:textId="77777777" w:rsidR="00661DE4" w:rsidRPr="00CA4887" w:rsidRDefault="00661DE4" w:rsidP="00661DE4">
            <w:pPr>
              <w:spacing w:after="0" w:line="240" w:lineRule="auto"/>
              <w:rPr>
                <w:sz w:val="16"/>
                <w:szCs w:val="16"/>
              </w:rPr>
            </w:pPr>
            <w:r w:rsidRPr="00CA4887">
              <w:rPr>
                <w:sz w:val="16"/>
                <w:szCs w:val="16"/>
              </w:rPr>
              <w:t>26.9%</w:t>
            </w:r>
          </w:p>
        </w:tc>
        <w:tc>
          <w:tcPr>
            <w:tcW w:w="993" w:type="dxa"/>
          </w:tcPr>
          <w:p w14:paraId="4DC77F84" w14:textId="77777777" w:rsidR="00661DE4" w:rsidRPr="00CA4887" w:rsidRDefault="00661DE4" w:rsidP="00661DE4">
            <w:pPr>
              <w:spacing w:after="0" w:line="240" w:lineRule="auto"/>
              <w:rPr>
                <w:sz w:val="16"/>
                <w:szCs w:val="16"/>
              </w:rPr>
            </w:pPr>
            <w:r w:rsidRPr="00CA4887">
              <w:rPr>
                <w:sz w:val="16"/>
                <w:szCs w:val="16"/>
              </w:rPr>
              <w:t>26.9%</w:t>
            </w:r>
          </w:p>
        </w:tc>
      </w:tr>
      <w:tr w:rsidR="00661DE4" w:rsidRPr="00CA4887" w14:paraId="4BEE109F" w14:textId="77777777" w:rsidTr="00661DE4">
        <w:tc>
          <w:tcPr>
            <w:tcW w:w="20" w:type="dxa"/>
          </w:tcPr>
          <w:p w14:paraId="6ACCE058" w14:textId="77777777" w:rsidR="00661DE4" w:rsidRPr="00CA4887" w:rsidRDefault="00661DE4" w:rsidP="00661DE4">
            <w:pPr>
              <w:spacing w:after="0" w:line="240" w:lineRule="auto"/>
              <w:rPr>
                <w:sz w:val="16"/>
                <w:szCs w:val="16"/>
              </w:rPr>
            </w:pPr>
          </w:p>
        </w:tc>
        <w:tc>
          <w:tcPr>
            <w:tcW w:w="2248" w:type="dxa"/>
            <w:noWrap/>
            <w:tcMar>
              <w:top w:w="0" w:type="dxa"/>
              <w:left w:w="108" w:type="dxa"/>
              <w:bottom w:w="0" w:type="dxa"/>
              <w:right w:w="108" w:type="dxa"/>
            </w:tcMar>
            <w:hideMark/>
          </w:tcPr>
          <w:p w14:paraId="50C788FA" w14:textId="77777777" w:rsidR="00661DE4" w:rsidRPr="00CA4887" w:rsidRDefault="00661DE4" w:rsidP="00661DE4">
            <w:pPr>
              <w:spacing w:after="0" w:line="240" w:lineRule="auto"/>
              <w:rPr>
                <w:sz w:val="16"/>
                <w:szCs w:val="16"/>
              </w:rPr>
            </w:pPr>
            <w:r w:rsidRPr="00CA4887">
              <w:rPr>
                <w:sz w:val="16"/>
                <w:szCs w:val="16"/>
              </w:rPr>
              <w:t>Hoppers Crossing Club</w:t>
            </w:r>
          </w:p>
        </w:tc>
        <w:tc>
          <w:tcPr>
            <w:tcW w:w="1560" w:type="dxa"/>
            <w:noWrap/>
            <w:tcMar>
              <w:top w:w="0" w:type="dxa"/>
              <w:left w:w="108" w:type="dxa"/>
              <w:bottom w:w="0" w:type="dxa"/>
              <w:right w:w="108" w:type="dxa"/>
            </w:tcMar>
            <w:hideMark/>
          </w:tcPr>
          <w:p w14:paraId="11DEC626" w14:textId="77777777" w:rsidR="00661DE4" w:rsidRPr="00CA4887" w:rsidRDefault="00661DE4" w:rsidP="00661DE4">
            <w:pPr>
              <w:spacing w:after="0" w:line="240" w:lineRule="auto"/>
              <w:rPr>
                <w:sz w:val="16"/>
                <w:szCs w:val="16"/>
              </w:rPr>
            </w:pPr>
            <w:r w:rsidRPr="00CA4887">
              <w:rPr>
                <w:sz w:val="16"/>
                <w:szCs w:val="16"/>
              </w:rPr>
              <w:t>$1,461,384.45</w:t>
            </w:r>
          </w:p>
        </w:tc>
        <w:tc>
          <w:tcPr>
            <w:tcW w:w="1417" w:type="dxa"/>
            <w:noWrap/>
            <w:tcMar>
              <w:top w:w="0" w:type="dxa"/>
              <w:left w:w="108" w:type="dxa"/>
              <w:bottom w:w="0" w:type="dxa"/>
              <w:right w:w="108" w:type="dxa"/>
            </w:tcMar>
            <w:hideMark/>
          </w:tcPr>
          <w:p w14:paraId="2A6465CA" w14:textId="77777777" w:rsidR="00661DE4" w:rsidRPr="00CA4887" w:rsidRDefault="00661DE4" w:rsidP="00661DE4">
            <w:pPr>
              <w:spacing w:after="0" w:line="240" w:lineRule="auto"/>
              <w:rPr>
                <w:sz w:val="16"/>
                <w:szCs w:val="16"/>
              </w:rPr>
            </w:pPr>
            <w:r w:rsidRPr="00CA4887">
              <w:rPr>
                <w:sz w:val="16"/>
                <w:szCs w:val="16"/>
              </w:rPr>
              <w:t>$1,461,384.45</w:t>
            </w:r>
          </w:p>
        </w:tc>
        <w:tc>
          <w:tcPr>
            <w:tcW w:w="1134" w:type="dxa"/>
            <w:noWrap/>
            <w:tcMar>
              <w:top w:w="0" w:type="dxa"/>
              <w:left w:w="108" w:type="dxa"/>
              <w:bottom w:w="0" w:type="dxa"/>
              <w:right w:w="108" w:type="dxa"/>
            </w:tcMar>
            <w:hideMark/>
          </w:tcPr>
          <w:p w14:paraId="68A1C2E2" w14:textId="77777777" w:rsidR="00661DE4" w:rsidRPr="00CA4887" w:rsidRDefault="00661DE4" w:rsidP="00661DE4">
            <w:pPr>
              <w:spacing w:after="0" w:line="240" w:lineRule="auto"/>
              <w:rPr>
                <w:sz w:val="16"/>
                <w:szCs w:val="16"/>
              </w:rPr>
            </w:pPr>
            <w:r w:rsidRPr="00CA4887">
              <w:rPr>
                <w:sz w:val="16"/>
                <w:szCs w:val="16"/>
              </w:rPr>
              <w:t>$0.00</w:t>
            </w:r>
          </w:p>
        </w:tc>
        <w:tc>
          <w:tcPr>
            <w:tcW w:w="992" w:type="dxa"/>
          </w:tcPr>
          <w:p w14:paraId="20BE4367" w14:textId="77777777" w:rsidR="00661DE4" w:rsidRPr="00CA4887" w:rsidRDefault="00661DE4" w:rsidP="00661DE4">
            <w:pPr>
              <w:spacing w:after="0" w:line="240" w:lineRule="auto"/>
              <w:rPr>
                <w:sz w:val="16"/>
                <w:szCs w:val="16"/>
              </w:rPr>
            </w:pPr>
            <w:r w:rsidRPr="00CA4887">
              <w:rPr>
                <w:sz w:val="16"/>
                <w:szCs w:val="16"/>
              </w:rPr>
              <w:t>24.2%</w:t>
            </w:r>
          </w:p>
        </w:tc>
        <w:tc>
          <w:tcPr>
            <w:tcW w:w="993" w:type="dxa"/>
          </w:tcPr>
          <w:p w14:paraId="3E2C7E17" w14:textId="77777777" w:rsidR="00661DE4" w:rsidRPr="00CA4887" w:rsidRDefault="00661DE4" w:rsidP="00661DE4">
            <w:pPr>
              <w:spacing w:after="0" w:line="240" w:lineRule="auto"/>
              <w:rPr>
                <w:sz w:val="16"/>
                <w:szCs w:val="16"/>
              </w:rPr>
            </w:pPr>
            <w:r w:rsidRPr="00CA4887">
              <w:rPr>
                <w:sz w:val="16"/>
                <w:szCs w:val="16"/>
              </w:rPr>
              <w:t>24.2%</w:t>
            </w:r>
          </w:p>
        </w:tc>
      </w:tr>
      <w:tr w:rsidR="00661DE4" w:rsidRPr="00CA4887" w14:paraId="5E27F601" w14:textId="77777777" w:rsidTr="00661DE4">
        <w:tc>
          <w:tcPr>
            <w:tcW w:w="20" w:type="dxa"/>
          </w:tcPr>
          <w:p w14:paraId="07007C8E" w14:textId="77777777" w:rsidR="00661DE4" w:rsidRPr="00CA4887" w:rsidRDefault="00661DE4" w:rsidP="00661DE4">
            <w:pPr>
              <w:spacing w:after="0" w:line="240" w:lineRule="auto"/>
              <w:rPr>
                <w:sz w:val="16"/>
                <w:szCs w:val="16"/>
              </w:rPr>
            </w:pPr>
          </w:p>
        </w:tc>
        <w:tc>
          <w:tcPr>
            <w:tcW w:w="2248" w:type="dxa"/>
            <w:noWrap/>
            <w:tcMar>
              <w:top w:w="0" w:type="dxa"/>
              <w:left w:w="108" w:type="dxa"/>
              <w:bottom w:w="0" w:type="dxa"/>
              <w:right w:w="108" w:type="dxa"/>
            </w:tcMar>
            <w:hideMark/>
          </w:tcPr>
          <w:p w14:paraId="38B7106E" w14:textId="77777777" w:rsidR="00661DE4" w:rsidRPr="00CA4887" w:rsidRDefault="00661DE4" w:rsidP="00661DE4">
            <w:pPr>
              <w:spacing w:after="0" w:line="240" w:lineRule="auto"/>
              <w:rPr>
                <w:sz w:val="16"/>
                <w:szCs w:val="16"/>
              </w:rPr>
            </w:pPr>
            <w:r w:rsidRPr="00CA4887">
              <w:rPr>
                <w:sz w:val="16"/>
                <w:szCs w:val="16"/>
              </w:rPr>
              <w:t>Hoppers Crossing Sports Club</w:t>
            </w:r>
          </w:p>
        </w:tc>
        <w:tc>
          <w:tcPr>
            <w:tcW w:w="1560" w:type="dxa"/>
            <w:noWrap/>
            <w:tcMar>
              <w:top w:w="0" w:type="dxa"/>
              <w:left w:w="108" w:type="dxa"/>
              <w:bottom w:w="0" w:type="dxa"/>
              <w:right w:w="108" w:type="dxa"/>
            </w:tcMar>
            <w:hideMark/>
          </w:tcPr>
          <w:p w14:paraId="61FE1251" w14:textId="77777777" w:rsidR="00661DE4" w:rsidRPr="00CA4887" w:rsidRDefault="00661DE4" w:rsidP="00661DE4">
            <w:pPr>
              <w:spacing w:after="0" w:line="240" w:lineRule="auto"/>
              <w:rPr>
                <w:sz w:val="16"/>
                <w:szCs w:val="16"/>
              </w:rPr>
            </w:pPr>
            <w:r w:rsidRPr="00CA4887">
              <w:rPr>
                <w:sz w:val="16"/>
                <w:szCs w:val="16"/>
              </w:rPr>
              <w:t>$1,227,256.54</w:t>
            </w:r>
          </w:p>
        </w:tc>
        <w:tc>
          <w:tcPr>
            <w:tcW w:w="1417" w:type="dxa"/>
            <w:noWrap/>
            <w:tcMar>
              <w:top w:w="0" w:type="dxa"/>
              <w:left w:w="108" w:type="dxa"/>
              <w:bottom w:w="0" w:type="dxa"/>
              <w:right w:w="108" w:type="dxa"/>
            </w:tcMar>
            <w:hideMark/>
          </w:tcPr>
          <w:p w14:paraId="6B119CC4" w14:textId="77777777" w:rsidR="00661DE4" w:rsidRPr="00CA4887" w:rsidRDefault="00661DE4" w:rsidP="00661DE4">
            <w:pPr>
              <w:spacing w:after="0" w:line="240" w:lineRule="auto"/>
              <w:rPr>
                <w:sz w:val="16"/>
                <w:szCs w:val="16"/>
              </w:rPr>
            </w:pPr>
            <w:r w:rsidRPr="00CA4887">
              <w:rPr>
                <w:sz w:val="16"/>
                <w:szCs w:val="16"/>
              </w:rPr>
              <w:t>$1,227,256.54</w:t>
            </w:r>
          </w:p>
        </w:tc>
        <w:tc>
          <w:tcPr>
            <w:tcW w:w="1134" w:type="dxa"/>
            <w:noWrap/>
            <w:tcMar>
              <w:top w:w="0" w:type="dxa"/>
              <w:left w:w="108" w:type="dxa"/>
              <w:bottom w:w="0" w:type="dxa"/>
              <w:right w:w="108" w:type="dxa"/>
            </w:tcMar>
            <w:hideMark/>
          </w:tcPr>
          <w:p w14:paraId="1DB80843" w14:textId="77777777" w:rsidR="00661DE4" w:rsidRPr="00CA4887" w:rsidRDefault="00661DE4" w:rsidP="00661DE4">
            <w:pPr>
              <w:spacing w:after="0" w:line="240" w:lineRule="auto"/>
              <w:rPr>
                <w:sz w:val="16"/>
                <w:szCs w:val="16"/>
              </w:rPr>
            </w:pPr>
            <w:r w:rsidRPr="00CA4887">
              <w:rPr>
                <w:sz w:val="16"/>
                <w:szCs w:val="16"/>
              </w:rPr>
              <w:t>$0.00</w:t>
            </w:r>
          </w:p>
        </w:tc>
        <w:tc>
          <w:tcPr>
            <w:tcW w:w="992" w:type="dxa"/>
          </w:tcPr>
          <w:p w14:paraId="3821ABF6" w14:textId="77777777" w:rsidR="00661DE4" w:rsidRPr="00CA4887" w:rsidRDefault="00661DE4" w:rsidP="00661DE4">
            <w:pPr>
              <w:spacing w:after="0" w:line="240" w:lineRule="auto"/>
              <w:rPr>
                <w:sz w:val="16"/>
                <w:szCs w:val="16"/>
              </w:rPr>
            </w:pPr>
            <w:r w:rsidRPr="00CA4887">
              <w:rPr>
                <w:sz w:val="16"/>
                <w:szCs w:val="16"/>
              </w:rPr>
              <w:t>28.0%</w:t>
            </w:r>
          </w:p>
        </w:tc>
        <w:tc>
          <w:tcPr>
            <w:tcW w:w="993" w:type="dxa"/>
          </w:tcPr>
          <w:p w14:paraId="7ECEC9FD" w14:textId="77777777" w:rsidR="00661DE4" w:rsidRPr="00CA4887" w:rsidRDefault="00661DE4" w:rsidP="00661DE4">
            <w:pPr>
              <w:spacing w:after="0" w:line="240" w:lineRule="auto"/>
              <w:rPr>
                <w:sz w:val="16"/>
                <w:szCs w:val="16"/>
              </w:rPr>
            </w:pPr>
            <w:r w:rsidRPr="00CA4887">
              <w:rPr>
                <w:sz w:val="16"/>
                <w:szCs w:val="16"/>
              </w:rPr>
              <w:t>28.0%</w:t>
            </w:r>
          </w:p>
        </w:tc>
      </w:tr>
      <w:tr w:rsidR="00661DE4" w:rsidRPr="00CA4887" w14:paraId="076FDFFD" w14:textId="77777777" w:rsidTr="00661DE4">
        <w:tc>
          <w:tcPr>
            <w:tcW w:w="20" w:type="dxa"/>
          </w:tcPr>
          <w:p w14:paraId="3E157162" w14:textId="77777777" w:rsidR="00661DE4" w:rsidRPr="00CA4887" w:rsidRDefault="00661DE4" w:rsidP="00661DE4">
            <w:pPr>
              <w:spacing w:after="0" w:line="240" w:lineRule="auto"/>
              <w:rPr>
                <w:sz w:val="16"/>
                <w:szCs w:val="16"/>
              </w:rPr>
            </w:pPr>
          </w:p>
        </w:tc>
        <w:tc>
          <w:tcPr>
            <w:tcW w:w="2248" w:type="dxa"/>
            <w:noWrap/>
            <w:tcMar>
              <w:top w:w="0" w:type="dxa"/>
              <w:left w:w="108" w:type="dxa"/>
              <w:bottom w:w="0" w:type="dxa"/>
              <w:right w:w="108" w:type="dxa"/>
            </w:tcMar>
            <w:hideMark/>
          </w:tcPr>
          <w:p w14:paraId="57ABA174" w14:textId="77777777" w:rsidR="00661DE4" w:rsidRPr="00CA4887" w:rsidRDefault="00661DE4" w:rsidP="00661DE4">
            <w:pPr>
              <w:spacing w:after="0" w:line="240" w:lineRule="auto"/>
              <w:rPr>
                <w:sz w:val="16"/>
                <w:szCs w:val="16"/>
              </w:rPr>
            </w:pPr>
            <w:r w:rsidRPr="00CA4887">
              <w:rPr>
                <w:sz w:val="16"/>
                <w:szCs w:val="16"/>
              </w:rPr>
              <w:t>The Brook on Sneydes</w:t>
            </w:r>
          </w:p>
        </w:tc>
        <w:tc>
          <w:tcPr>
            <w:tcW w:w="1560" w:type="dxa"/>
            <w:noWrap/>
            <w:tcMar>
              <w:top w:w="0" w:type="dxa"/>
              <w:left w:w="108" w:type="dxa"/>
              <w:bottom w:w="0" w:type="dxa"/>
              <w:right w:w="108" w:type="dxa"/>
            </w:tcMar>
            <w:hideMark/>
          </w:tcPr>
          <w:p w14:paraId="6E5DCBB6" w14:textId="77777777" w:rsidR="00661DE4" w:rsidRPr="00CA4887" w:rsidRDefault="00661DE4" w:rsidP="00661DE4">
            <w:pPr>
              <w:spacing w:after="0" w:line="240" w:lineRule="auto"/>
              <w:rPr>
                <w:sz w:val="16"/>
                <w:szCs w:val="16"/>
              </w:rPr>
            </w:pPr>
            <w:r w:rsidRPr="00CA4887">
              <w:rPr>
                <w:sz w:val="16"/>
                <w:szCs w:val="16"/>
              </w:rPr>
              <w:t>$1,252,552.96</w:t>
            </w:r>
          </w:p>
        </w:tc>
        <w:tc>
          <w:tcPr>
            <w:tcW w:w="1417" w:type="dxa"/>
            <w:noWrap/>
            <w:tcMar>
              <w:top w:w="0" w:type="dxa"/>
              <w:left w:w="108" w:type="dxa"/>
              <w:bottom w:w="0" w:type="dxa"/>
              <w:right w:w="108" w:type="dxa"/>
            </w:tcMar>
            <w:hideMark/>
          </w:tcPr>
          <w:p w14:paraId="1F5CE687" w14:textId="77777777" w:rsidR="00661DE4" w:rsidRPr="00CA4887" w:rsidRDefault="00661DE4" w:rsidP="00661DE4">
            <w:pPr>
              <w:spacing w:after="0" w:line="240" w:lineRule="auto"/>
              <w:rPr>
                <w:sz w:val="16"/>
                <w:szCs w:val="16"/>
              </w:rPr>
            </w:pPr>
            <w:r w:rsidRPr="00CA4887">
              <w:rPr>
                <w:sz w:val="16"/>
                <w:szCs w:val="16"/>
              </w:rPr>
              <w:t>$1,252,552.96</w:t>
            </w:r>
          </w:p>
        </w:tc>
        <w:tc>
          <w:tcPr>
            <w:tcW w:w="1134" w:type="dxa"/>
            <w:noWrap/>
            <w:tcMar>
              <w:top w:w="0" w:type="dxa"/>
              <w:left w:w="108" w:type="dxa"/>
              <w:bottom w:w="0" w:type="dxa"/>
              <w:right w:w="108" w:type="dxa"/>
            </w:tcMar>
            <w:hideMark/>
          </w:tcPr>
          <w:p w14:paraId="4A04819D" w14:textId="77777777" w:rsidR="00661DE4" w:rsidRPr="00CA4887" w:rsidRDefault="00661DE4" w:rsidP="00661DE4">
            <w:pPr>
              <w:spacing w:after="0" w:line="240" w:lineRule="auto"/>
              <w:rPr>
                <w:sz w:val="16"/>
                <w:szCs w:val="16"/>
              </w:rPr>
            </w:pPr>
            <w:r w:rsidRPr="00CA4887">
              <w:rPr>
                <w:sz w:val="16"/>
                <w:szCs w:val="16"/>
              </w:rPr>
              <w:t>$0.00</w:t>
            </w:r>
          </w:p>
        </w:tc>
        <w:tc>
          <w:tcPr>
            <w:tcW w:w="992" w:type="dxa"/>
          </w:tcPr>
          <w:p w14:paraId="29ED4332" w14:textId="77777777" w:rsidR="00661DE4" w:rsidRPr="00CA4887" w:rsidRDefault="00661DE4" w:rsidP="00661DE4">
            <w:pPr>
              <w:spacing w:after="0" w:line="240" w:lineRule="auto"/>
              <w:rPr>
                <w:sz w:val="16"/>
                <w:szCs w:val="16"/>
              </w:rPr>
            </w:pPr>
            <w:r w:rsidRPr="00CA4887">
              <w:rPr>
                <w:sz w:val="16"/>
                <w:szCs w:val="16"/>
              </w:rPr>
              <w:t>23.9%</w:t>
            </w:r>
          </w:p>
        </w:tc>
        <w:tc>
          <w:tcPr>
            <w:tcW w:w="993" w:type="dxa"/>
          </w:tcPr>
          <w:p w14:paraId="0E37A2DE" w14:textId="77777777" w:rsidR="00661DE4" w:rsidRPr="00CA4887" w:rsidRDefault="00661DE4" w:rsidP="00661DE4">
            <w:pPr>
              <w:spacing w:after="0" w:line="240" w:lineRule="auto"/>
              <w:rPr>
                <w:sz w:val="16"/>
                <w:szCs w:val="16"/>
              </w:rPr>
            </w:pPr>
            <w:r w:rsidRPr="00CA4887">
              <w:rPr>
                <w:sz w:val="16"/>
                <w:szCs w:val="16"/>
              </w:rPr>
              <w:t>23.9%</w:t>
            </w:r>
          </w:p>
        </w:tc>
      </w:tr>
      <w:tr w:rsidR="00661DE4" w:rsidRPr="00CA4887" w14:paraId="7CEAFB25" w14:textId="77777777" w:rsidTr="00661DE4">
        <w:tc>
          <w:tcPr>
            <w:tcW w:w="20" w:type="dxa"/>
          </w:tcPr>
          <w:p w14:paraId="69F0AF5F" w14:textId="77777777" w:rsidR="00661DE4" w:rsidRPr="00CA4887" w:rsidRDefault="00661DE4" w:rsidP="00661DE4">
            <w:pPr>
              <w:spacing w:after="0" w:line="240" w:lineRule="auto"/>
              <w:rPr>
                <w:sz w:val="16"/>
                <w:szCs w:val="16"/>
              </w:rPr>
            </w:pPr>
          </w:p>
        </w:tc>
        <w:tc>
          <w:tcPr>
            <w:tcW w:w="2248" w:type="dxa"/>
            <w:noWrap/>
            <w:tcMar>
              <w:top w:w="0" w:type="dxa"/>
              <w:left w:w="108" w:type="dxa"/>
              <w:bottom w:w="0" w:type="dxa"/>
              <w:right w:w="108" w:type="dxa"/>
            </w:tcMar>
            <w:hideMark/>
          </w:tcPr>
          <w:p w14:paraId="5184ADC5" w14:textId="77777777" w:rsidR="00661DE4" w:rsidRPr="00CA4887" w:rsidRDefault="00661DE4" w:rsidP="00661DE4">
            <w:pPr>
              <w:spacing w:after="0" w:line="240" w:lineRule="auto"/>
              <w:rPr>
                <w:sz w:val="16"/>
                <w:szCs w:val="16"/>
              </w:rPr>
            </w:pPr>
            <w:r w:rsidRPr="00CA4887">
              <w:rPr>
                <w:sz w:val="16"/>
                <w:szCs w:val="16"/>
              </w:rPr>
              <w:t>Werribee RSL</w:t>
            </w:r>
          </w:p>
        </w:tc>
        <w:tc>
          <w:tcPr>
            <w:tcW w:w="1560" w:type="dxa"/>
            <w:noWrap/>
            <w:tcMar>
              <w:top w:w="0" w:type="dxa"/>
              <w:left w:w="108" w:type="dxa"/>
              <w:bottom w:w="0" w:type="dxa"/>
              <w:right w:w="108" w:type="dxa"/>
            </w:tcMar>
            <w:hideMark/>
          </w:tcPr>
          <w:p w14:paraId="6A0B4BBC" w14:textId="77777777" w:rsidR="00661DE4" w:rsidRPr="00CA4887" w:rsidRDefault="00661DE4" w:rsidP="00661DE4">
            <w:pPr>
              <w:spacing w:after="0" w:line="240" w:lineRule="auto"/>
              <w:rPr>
                <w:sz w:val="16"/>
                <w:szCs w:val="16"/>
              </w:rPr>
            </w:pPr>
            <w:r w:rsidRPr="00CA4887">
              <w:rPr>
                <w:sz w:val="16"/>
                <w:szCs w:val="16"/>
              </w:rPr>
              <w:t>$648,844.59</w:t>
            </w:r>
          </w:p>
        </w:tc>
        <w:tc>
          <w:tcPr>
            <w:tcW w:w="1417" w:type="dxa"/>
            <w:noWrap/>
            <w:tcMar>
              <w:top w:w="0" w:type="dxa"/>
              <w:left w:w="108" w:type="dxa"/>
              <w:bottom w:w="0" w:type="dxa"/>
              <w:right w:w="108" w:type="dxa"/>
            </w:tcMar>
            <w:hideMark/>
          </w:tcPr>
          <w:p w14:paraId="4E655E16" w14:textId="77777777" w:rsidR="00661DE4" w:rsidRPr="00CA4887" w:rsidRDefault="00661DE4" w:rsidP="00661DE4">
            <w:pPr>
              <w:spacing w:after="0" w:line="240" w:lineRule="auto"/>
              <w:rPr>
                <w:sz w:val="16"/>
                <w:szCs w:val="16"/>
              </w:rPr>
            </w:pPr>
            <w:r w:rsidRPr="00CA4887">
              <w:rPr>
                <w:sz w:val="16"/>
                <w:szCs w:val="16"/>
              </w:rPr>
              <w:t>$648,844.59</w:t>
            </w:r>
          </w:p>
        </w:tc>
        <w:tc>
          <w:tcPr>
            <w:tcW w:w="1134" w:type="dxa"/>
            <w:noWrap/>
            <w:tcMar>
              <w:top w:w="0" w:type="dxa"/>
              <w:left w:w="108" w:type="dxa"/>
              <w:bottom w:w="0" w:type="dxa"/>
              <w:right w:w="108" w:type="dxa"/>
            </w:tcMar>
            <w:hideMark/>
          </w:tcPr>
          <w:p w14:paraId="21D75653" w14:textId="77777777" w:rsidR="00661DE4" w:rsidRPr="00CA4887" w:rsidRDefault="00661DE4" w:rsidP="00661DE4">
            <w:pPr>
              <w:spacing w:after="0" w:line="240" w:lineRule="auto"/>
              <w:rPr>
                <w:sz w:val="16"/>
                <w:szCs w:val="16"/>
              </w:rPr>
            </w:pPr>
            <w:r w:rsidRPr="00CA4887">
              <w:rPr>
                <w:sz w:val="16"/>
                <w:szCs w:val="16"/>
              </w:rPr>
              <w:t>$0.00</w:t>
            </w:r>
          </w:p>
        </w:tc>
        <w:tc>
          <w:tcPr>
            <w:tcW w:w="992" w:type="dxa"/>
          </w:tcPr>
          <w:p w14:paraId="5D1769F2" w14:textId="77777777" w:rsidR="00661DE4" w:rsidRPr="00CA4887" w:rsidRDefault="00661DE4" w:rsidP="00661DE4">
            <w:pPr>
              <w:spacing w:after="0" w:line="240" w:lineRule="auto"/>
              <w:rPr>
                <w:sz w:val="16"/>
                <w:szCs w:val="16"/>
              </w:rPr>
            </w:pPr>
            <w:r w:rsidRPr="00CA4887">
              <w:rPr>
                <w:sz w:val="16"/>
                <w:szCs w:val="16"/>
              </w:rPr>
              <w:t>19.6%</w:t>
            </w:r>
          </w:p>
        </w:tc>
        <w:tc>
          <w:tcPr>
            <w:tcW w:w="993" w:type="dxa"/>
          </w:tcPr>
          <w:p w14:paraId="664840CE" w14:textId="77777777" w:rsidR="00661DE4" w:rsidRPr="00CA4887" w:rsidRDefault="00661DE4" w:rsidP="00661DE4">
            <w:pPr>
              <w:spacing w:after="0" w:line="240" w:lineRule="auto"/>
              <w:rPr>
                <w:sz w:val="16"/>
                <w:szCs w:val="16"/>
              </w:rPr>
            </w:pPr>
            <w:r w:rsidRPr="00CA4887">
              <w:rPr>
                <w:sz w:val="16"/>
                <w:szCs w:val="16"/>
              </w:rPr>
              <w:t>19.6%</w:t>
            </w:r>
          </w:p>
        </w:tc>
      </w:tr>
      <w:tr w:rsidR="00661DE4" w:rsidRPr="00CA4887" w14:paraId="45D680B5" w14:textId="77777777" w:rsidTr="00661DE4">
        <w:tc>
          <w:tcPr>
            <w:tcW w:w="20" w:type="dxa"/>
            <w:tcBorders>
              <w:bottom w:val="dotted" w:sz="4" w:space="0" w:color="auto"/>
            </w:tcBorders>
          </w:tcPr>
          <w:p w14:paraId="5DB1B240" w14:textId="77777777" w:rsidR="00661DE4" w:rsidRPr="00CA4887" w:rsidRDefault="00661DE4" w:rsidP="00661DE4">
            <w:pPr>
              <w:spacing w:after="0" w:line="240" w:lineRule="auto"/>
              <w:rPr>
                <w:sz w:val="16"/>
                <w:szCs w:val="16"/>
              </w:rPr>
            </w:pPr>
          </w:p>
        </w:tc>
        <w:tc>
          <w:tcPr>
            <w:tcW w:w="2248" w:type="dxa"/>
            <w:tcBorders>
              <w:bottom w:val="dotted" w:sz="4" w:space="0" w:color="auto"/>
            </w:tcBorders>
            <w:noWrap/>
            <w:tcMar>
              <w:top w:w="0" w:type="dxa"/>
              <w:left w:w="108" w:type="dxa"/>
              <w:bottom w:w="0" w:type="dxa"/>
              <w:right w:w="108" w:type="dxa"/>
            </w:tcMar>
          </w:tcPr>
          <w:p w14:paraId="05102C2D" w14:textId="77777777" w:rsidR="00661DE4" w:rsidRPr="00CA4887" w:rsidRDefault="00661DE4" w:rsidP="00661DE4">
            <w:pPr>
              <w:spacing w:after="0" w:line="240" w:lineRule="auto"/>
              <w:rPr>
                <w:i/>
                <w:sz w:val="16"/>
                <w:szCs w:val="16"/>
              </w:rPr>
            </w:pPr>
            <w:r>
              <w:rPr>
                <w:i/>
                <w:sz w:val="16"/>
                <w:szCs w:val="16"/>
              </w:rPr>
              <w:t>Clubs t</w:t>
            </w:r>
            <w:r w:rsidRPr="00CA4887">
              <w:rPr>
                <w:i/>
                <w:sz w:val="16"/>
                <w:szCs w:val="16"/>
              </w:rPr>
              <w:t>otal</w:t>
            </w:r>
          </w:p>
        </w:tc>
        <w:tc>
          <w:tcPr>
            <w:tcW w:w="1560" w:type="dxa"/>
            <w:tcBorders>
              <w:bottom w:val="dotted" w:sz="4" w:space="0" w:color="auto"/>
            </w:tcBorders>
            <w:noWrap/>
            <w:tcMar>
              <w:top w:w="0" w:type="dxa"/>
              <w:left w:w="108" w:type="dxa"/>
              <w:bottom w:w="0" w:type="dxa"/>
              <w:right w:w="108" w:type="dxa"/>
            </w:tcMar>
          </w:tcPr>
          <w:p w14:paraId="587B758A" w14:textId="77777777" w:rsidR="00661DE4" w:rsidRPr="00CA4887" w:rsidRDefault="00661DE4" w:rsidP="00661DE4">
            <w:pPr>
              <w:spacing w:after="0" w:line="240" w:lineRule="auto"/>
              <w:rPr>
                <w:i/>
                <w:sz w:val="16"/>
                <w:szCs w:val="16"/>
              </w:rPr>
            </w:pPr>
            <w:r w:rsidRPr="00CA4887">
              <w:rPr>
                <w:i/>
                <w:sz w:val="16"/>
                <w:szCs w:val="16"/>
              </w:rPr>
              <w:t>$9.787,891.91</w:t>
            </w:r>
          </w:p>
        </w:tc>
        <w:tc>
          <w:tcPr>
            <w:tcW w:w="1417" w:type="dxa"/>
            <w:tcBorders>
              <w:bottom w:val="dotted" w:sz="4" w:space="0" w:color="auto"/>
            </w:tcBorders>
            <w:noWrap/>
            <w:tcMar>
              <w:top w:w="0" w:type="dxa"/>
              <w:left w:w="108" w:type="dxa"/>
              <w:bottom w:w="0" w:type="dxa"/>
              <w:right w:w="108" w:type="dxa"/>
            </w:tcMar>
          </w:tcPr>
          <w:p w14:paraId="13591C02" w14:textId="77777777" w:rsidR="00661DE4" w:rsidRPr="00CA4887" w:rsidRDefault="00661DE4" w:rsidP="00661DE4">
            <w:pPr>
              <w:spacing w:after="0" w:line="240" w:lineRule="auto"/>
              <w:rPr>
                <w:i/>
                <w:sz w:val="16"/>
                <w:szCs w:val="16"/>
              </w:rPr>
            </w:pPr>
            <w:r w:rsidRPr="00CA4887">
              <w:rPr>
                <w:i/>
                <w:sz w:val="16"/>
                <w:szCs w:val="16"/>
              </w:rPr>
              <w:t>$9,988,763.41</w:t>
            </w:r>
          </w:p>
        </w:tc>
        <w:tc>
          <w:tcPr>
            <w:tcW w:w="1134" w:type="dxa"/>
            <w:tcBorders>
              <w:bottom w:val="dotted" w:sz="4" w:space="0" w:color="auto"/>
            </w:tcBorders>
            <w:noWrap/>
            <w:tcMar>
              <w:top w:w="0" w:type="dxa"/>
              <w:left w:w="108" w:type="dxa"/>
              <w:bottom w:w="0" w:type="dxa"/>
              <w:right w:w="108" w:type="dxa"/>
            </w:tcMar>
          </w:tcPr>
          <w:p w14:paraId="5C942947" w14:textId="77777777" w:rsidR="00661DE4" w:rsidRPr="00CA4887" w:rsidRDefault="00661DE4" w:rsidP="00661DE4">
            <w:pPr>
              <w:spacing w:after="0" w:line="240" w:lineRule="auto"/>
              <w:rPr>
                <w:i/>
                <w:sz w:val="16"/>
                <w:szCs w:val="16"/>
              </w:rPr>
            </w:pPr>
            <w:r w:rsidRPr="00CA4887">
              <w:rPr>
                <w:i/>
                <w:sz w:val="16"/>
                <w:szCs w:val="16"/>
              </w:rPr>
              <w:t>$200,871.49</w:t>
            </w:r>
          </w:p>
        </w:tc>
        <w:tc>
          <w:tcPr>
            <w:tcW w:w="992" w:type="dxa"/>
            <w:tcBorders>
              <w:bottom w:val="dotted" w:sz="4" w:space="0" w:color="auto"/>
            </w:tcBorders>
          </w:tcPr>
          <w:p w14:paraId="3B007D9B" w14:textId="77777777" w:rsidR="00661DE4" w:rsidRPr="00CA4887" w:rsidRDefault="00661DE4" w:rsidP="00661DE4">
            <w:pPr>
              <w:spacing w:after="0" w:line="240" w:lineRule="auto"/>
              <w:rPr>
                <w:i/>
                <w:sz w:val="16"/>
                <w:szCs w:val="16"/>
              </w:rPr>
            </w:pPr>
            <w:r>
              <w:rPr>
                <w:i/>
                <w:sz w:val="16"/>
                <w:szCs w:val="16"/>
              </w:rPr>
              <w:t>28.2%</w:t>
            </w:r>
          </w:p>
        </w:tc>
        <w:tc>
          <w:tcPr>
            <w:tcW w:w="993" w:type="dxa"/>
            <w:tcBorders>
              <w:bottom w:val="dotted" w:sz="4" w:space="0" w:color="auto"/>
            </w:tcBorders>
          </w:tcPr>
          <w:p w14:paraId="1CDF83F8" w14:textId="77777777" w:rsidR="00661DE4" w:rsidRPr="00CA4887" w:rsidRDefault="00661DE4" w:rsidP="00661DE4">
            <w:pPr>
              <w:spacing w:after="0" w:line="240" w:lineRule="auto"/>
              <w:rPr>
                <w:i/>
                <w:sz w:val="16"/>
                <w:szCs w:val="16"/>
              </w:rPr>
            </w:pPr>
            <w:r>
              <w:rPr>
                <w:i/>
                <w:sz w:val="16"/>
                <w:szCs w:val="16"/>
              </w:rPr>
              <w:t>28.8%</w:t>
            </w:r>
          </w:p>
        </w:tc>
      </w:tr>
      <w:tr w:rsidR="00661DE4" w:rsidRPr="00CA4887" w14:paraId="6D6C38EC" w14:textId="77777777" w:rsidTr="00661DE4">
        <w:tc>
          <w:tcPr>
            <w:tcW w:w="2268" w:type="dxa"/>
            <w:gridSpan w:val="2"/>
            <w:tcBorders>
              <w:top w:val="dotted" w:sz="4" w:space="0" w:color="auto"/>
              <w:bottom w:val="single" w:sz="4" w:space="0" w:color="auto"/>
            </w:tcBorders>
          </w:tcPr>
          <w:p w14:paraId="511481C2" w14:textId="77777777" w:rsidR="00661DE4" w:rsidRPr="00CA4887" w:rsidRDefault="00661DE4" w:rsidP="00661DE4">
            <w:pPr>
              <w:spacing w:after="0" w:line="240" w:lineRule="auto"/>
              <w:rPr>
                <w:i/>
                <w:sz w:val="16"/>
                <w:szCs w:val="16"/>
              </w:rPr>
            </w:pPr>
            <w:r w:rsidRPr="00CA4887">
              <w:rPr>
                <w:i/>
                <w:sz w:val="16"/>
                <w:szCs w:val="16"/>
              </w:rPr>
              <w:t>Total</w:t>
            </w:r>
          </w:p>
        </w:tc>
        <w:tc>
          <w:tcPr>
            <w:tcW w:w="1560" w:type="dxa"/>
            <w:tcBorders>
              <w:top w:val="dotted" w:sz="4" w:space="0" w:color="auto"/>
              <w:bottom w:val="single" w:sz="4" w:space="0" w:color="auto"/>
            </w:tcBorders>
            <w:noWrap/>
            <w:tcMar>
              <w:top w:w="0" w:type="dxa"/>
              <w:left w:w="108" w:type="dxa"/>
              <w:bottom w:w="0" w:type="dxa"/>
              <w:right w:w="108" w:type="dxa"/>
            </w:tcMar>
          </w:tcPr>
          <w:p w14:paraId="1AC2DFCC" w14:textId="77777777" w:rsidR="00661DE4" w:rsidRPr="00CA4887" w:rsidRDefault="00661DE4" w:rsidP="00661DE4">
            <w:pPr>
              <w:spacing w:after="0" w:line="240" w:lineRule="auto"/>
              <w:rPr>
                <w:i/>
                <w:sz w:val="16"/>
                <w:szCs w:val="16"/>
              </w:rPr>
            </w:pPr>
            <w:r w:rsidRPr="00CA4887">
              <w:rPr>
                <w:i/>
                <w:sz w:val="16"/>
                <w:szCs w:val="16"/>
              </w:rPr>
              <w:t>$37,718,539.67</w:t>
            </w:r>
          </w:p>
        </w:tc>
        <w:tc>
          <w:tcPr>
            <w:tcW w:w="1417" w:type="dxa"/>
            <w:tcBorders>
              <w:top w:val="dotted" w:sz="4" w:space="0" w:color="auto"/>
              <w:bottom w:val="single" w:sz="4" w:space="0" w:color="auto"/>
            </w:tcBorders>
            <w:noWrap/>
            <w:tcMar>
              <w:top w:w="0" w:type="dxa"/>
              <w:left w:w="108" w:type="dxa"/>
              <w:bottom w:w="0" w:type="dxa"/>
              <w:right w:w="108" w:type="dxa"/>
            </w:tcMar>
          </w:tcPr>
          <w:p w14:paraId="4110534D" w14:textId="77777777" w:rsidR="00661DE4" w:rsidRPr="00CA4887" w:rsidRDefault="00661DE4" w:rsidP="00661DE4">
            <w:pPr>
              <w:spacing w:after="0" w:line="240" w:lineRule="auto"/>
              <w:rPr>
                <w:i/>
                <w:sz w:val="16"/>
                <w:szCs w:val="16"/>
              </w:rPr>
            </w:pPr>
            <w:r w:rsidRPr="00CA4887">
              <w:rPr>
                <w:i/>
                <w:sz w:val="16"/>
                <w:szCs w:val="16"/>
              </w:rPr>
              <w:t>$38,562,582.53</w:t>
            </w:r>
          </w:p>
        </w:tc>
        <w:tc>
          <w:tcPr>
            <w:tcW w:w="1134" w:type="dxa"/>
            <w:tcBorders>
              <w:top w:val="dotted" w:sz="4" w:space="0" w:color="auto"/>
              <w:bottom w:val="single" w:sz="4" w:space="0" w:color="auto"/>
            </w:tcBorders>
            <w:noWrap/>
            <w:tcMar>
              <w:top w:w="0" w:type="dxa"/>
              <w:left w:w="108" w:type="dxa"/>
              <w:bottom w:w="0" w:type="dxa"/>
              <w:right w:w="108" w:type="dxa"/>
            </w:tcMar>
          </w:tcPr>
          <w:p w14:paraId="2A5881AC" w14:textId="77777777" w:rsidR="00661DE4" w:rsidRPr="00CA4887" w:rsidRDefault="00661DE4" w:rsidP="00661DE4">
            <w:pPr>
              <w:spacing w:after="0" w:line="240" w:lineRule="auto"/>
              <w:rPr>
                <w:i/>
                <w:sz w:val="16"/>
                <w:szCs w:val="16"/>
              </w:rPr>
            </w:pPr>
            <w:r w:rsidRPr="00CA4887">
              <w:rPr>
                <w:i/>
                <w:sz w:val="16"/>
                <w:szCs w:val="16"/>
              </w:rPr>
              <w:t>$884,042.86</w:t>
            </w:r>
          </w:p>
        </w:tc>
        <w:tc>
          <w:tcPr>
            <w:tcW w:w="992" w:type="dxa"/>
            <w:tcBorders>
              <w:top w:val="dotted" w:sz="4" w:space="0" w:color="auto"/>
              <w:bottom w:val="single" w:sz="4" w:space="0" w:color="auto"/>
            </w:tcBorders>
          </w:tcPr>
          <w:p w14:paraId="20736F04" w14:textId="77777777" w:rsidR="00661DE4" w:rsidRPr="00CA4887" w:rsidRDefault="00661DE4" w:rsidP="00661DE4">
            <w:pPr>
              <w:spacing w:after="0" w:line="240" w:lineRule="auto"/>
              <w:rPr>
                <w:i/>
                <w:sz w:val="16"/>
                <w:szCs w:val="16"/>
              </w:rPr>
            </w:pPr>
            <w:r w:rsidRPr="00CA4887">
              <w:rPr>
                <w:i/>
                <w:sz w:val="16"/>
                <w:szCs w:val="16"/>
              </w:rPr>
              <w:t>38.6%</w:t>
            </w:r>
          </w:p>
        </w:tc>
        <w:tc>
          <w:tcPr>
            <w:tcW w:w="993" w:type="dxa"/>
            <w:tcBorders>
              <w:top w:val="dotted" w:sz="4" w:space="0" w:color="auto"/>
              <w:bottom w:val="single" w:sz="4" w:space="0" w:color="auto"/>
            </w:tcBorders>
          </w:tcPr>
          <w:p w14:paraId="0776A387" w14:textId="77777777" w:rsidR="00661DE4" w:rsidRPr="00CA4887" w:rsidRDefault="00661DE4" w:rsidP="00661DE4">
            <w:pPr>
              <w:spacing w:after="0" w:line="240" w:lineRule="auto"/>
              <w:rPr>
                <w:i/>
                <w:sz w:val="16"/>
                <w:szCs w:val="16"/>
              </w:rPr>
            </w:pPr>
            <w:r w:rsidRPr="00CA4887">
              <w:rPr>
                <w:i/>
                <w:sz w:val="16"/>
                <w:szCs w:val="16"/>
              </w:rPr>
              <w:t>39.4%</w:t>
            </w:r>
          </w:p>
        </w:tc>
      </w:tr>
    </w:tbl>
    <w:p w14:paraId="6BD0AF7E" w14:textId="77777777" w:rsidR="00661DE4" w:rsidRPr="00894F6F" w:rsidRDefault="00661DE4" w:rsidP="00661DE4"/>
    <w:p w14:paraId="3FE9550E" w14:textId="77777777" w:rsidR="00661DE4" w:rsidRPr="00EF66B8" w:rsidRDefault="00661DE4" w:rsidP="00661DE4">
      <w:pPr>
        <w:pStyle w:val="Heading2"/>
        <w:rPr>
          <w:color w:val="7030A0"/>
        </w:rPr>
      </w:pPr>
      <w:r w:rsidRPr="00EF66B8">
        <w:rPr>
          <w:color w:val="7030A0"/>
        </w:rPr>
        <w:t>Community benefits</w:t>
      </w:r>
    </w:p>
    <w:p w14:paraId="7570E3A8" w14:textId="77777777" w:rsidR="00661DE4" w:rsidRDefault="00661DE4" w:rsidP="00661DE4">
      <w:pPr>
        <w:rPr>
          <w:lang w:val="en-US"/>
        </w:rPr>
      </w:pPr>
      <w:r>
        <w:t>Besides the tax obligations, clubs are also</w:t>
      </w:r>
      <w:r w:rsidRPr="006D1CBE">
        <w:rPr>
          <w:lang w:val="en-US"/>
        </w:rPr>
        <w:t xml:space="preserve"> </w:t>
      </w:r>
      <w:r>
        <w:rPr>
          <w:lang w:val="en-US"/>
        </w:rPr>
        <w:t>required</w:t>
      </w:r>
      <w:r w:rsidRPr="006D1CBE">
        <w:rPr>
          <w:lang w:val="en-US"/>
        </w:rPr>
        <w:t xml:space="preserve"> to contribute at least 8.33% of their EGM revenue to support the community. Clubs document these contributions in annual Community Benefit Statements</w:t>
      </w:r>
      <w:r>
        <w:rPr>
          <w:lang w:val="en-US"/>
        </w:rPr>
        <w:t xml:space="preserve"> lodged with the VCGLR. Clubs have three categories to claim such community benefits as follows: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661DE4" w:rsidRPr="00507C9F" w14:paraId="0E6B15C5" w14:textId="77777777" w:rsidTr="00661DE4">
        <w:tc>
          <w:tcPr>
            <w:tcW w:w="2254" w:type="dxa"/>
            <w:tcBorders>
              <w:top w:val="single" w:sz="4" w:space="0" w:color="auto"/>
              <w:bottom w:val="single" w:sz="4" w:space="0" w:color="auto"/>
            </w:tcBorders>
          </w:tcPr>
          <w:p w14:paraId="06DAA19D" w14:textId="77777777" w:rsidR="00661DE4" w:rsidRPr="00507C9F" w:rsidRDefault="00661DE4" w:rsidP="00661DE4">
            <w:pPr>
              <w:rPr>
                <w:b/>
                <w:sz w:val="16"/>
                <w:szCs w:val="16"/>
                <w:lang w:val="en-US"/>
              </w:rPr>
            </w:pPr>
          </w:p>
        </w:tc>
        <w:tc>
          <w:tcPr>
            <w:tcW w:w="2254" w:type="dxa"/>
            <w:tcBorders>
              <w:top w:val="single" w:sz="4" w:space="0" w:color="auto"/>
              <w:bottom w:val="single" w:sz="4" w:space="0" w:color="auto"/>
            </w:tcBorders>
          </w:tcPr>
          <w:p w14:paraId="0C76C800" w14:textId="77777777" w:rsidR="00661DE4" w:rsidRPr="00507C9F" w:rsidRDefault="00661DE4" w:rsidP="00661DE4">
            <w:pPr>
              <w:rPr>
                <w:b/>
                <w:sz w:val="16"/>
                <w:szCs w:val="16"/>
                <w:lang w:val="en-US"/>
              </w:rPr>
            </w:pPr>
            <w:r w:rsidRPr="00507C9F">
              <w:rPr>
                <w:b/>
                <w:sz w:val="16"/>
                <w:szCs w:val="16"/>
                <w:lang w:val="en-US"/>
              </w:rPr>
              <w:t>Class A</w:t>
            </w:r>
          </w:p>
        </w:tc>
        <w:tc>
          <w:tcPr>
            <w:tcW w:w="2254" w:type="dxa"/>
            <w:tcBorders>
              <w:top w:val="single" w:sz="4" w:space="0" w:color="auto"/>
              <w:bottom w:val="single" w:sz="4" w:space="0" w:color="auto"/>
            </w:tcBorders>
          </w:tcPr>
          <w:p w14:paraId="43E351CF" w14:textId="77777777" w:rsidR="00661DE4" w:rsidRPr="00507C9F" w:rsidRDefault="00661DE4" w:rsidP="00661DE4">
            <w:pPr>
              <w:rPr>
                <w:b/>
                <w:sz w:val="16"/>
                <w:szCs w:val="16"/>
                <w:lang w:val="en-US"/>
              </w:rPr>
            </w:pPr>
            <w:r w:rsidRPr="00507C9F">
              <w:rPr>
                <w:b/>
                <w:sz w:val="16"/>
                <w:szCs w:val="16"/>
                <w:lang w:val="en-US"/>
              </w:rPr>
              <w:t>Class B</w:t>
            </w:r>
          </w:p>
        </w:tc>
        <w:tc>
          <w:tcPr>
            <w:tcW w:w="2254" w:type="dxa"/>
            <w:tcBorders>
              <w:top w:val="single" w:sz="4" w:space="0" w:color="auto"/>
              <w:bottom w:val="single" w:sz="4" w:space="0" w:color="auto"/>
            </w:tcBorders>
          </w:tcPr>
          <w:p w14:paraId="02C659AE" w14:textId="77777777" w:rsidR="00661DE4" w:rsidRPr="00507C9F" w:rsidRDefault="00661DE4" w:rsidP="00661DE4">
            <w:pPr>
              <w:rPr>
                <w:b/>
                <w:sz w:val="16"/>
                <w:szCs w:val="16"/>
                <w:lang w:val="en-US"/>
              </w:rPr>
            </w:pPr>
            <w:r w:rsidRPr="00507C9F">
              <w:rPr>
                <w:b/>
                <w:sz w:val="16"/>
                <w:szCs w:val="16"/>
                <w:lang w:val="en-US"/>
              </w:rPr>
              <w:t>Class C</w:t>
            </w:r>
          </w:p>
        </w:tc>
      </w:tr>
      <w:tr w:rsidR="00661DE4" w:rsidRPr="00507C9F" w14:paraId="7D6F5F94" w14:textId="77777777" w:rsidTr="00661DE4">
        <w:tc>
          <w:tcPr>
            <w:tcW w:w="2254" w:type="dxa"/>
            <w:tcBorders>
              <w:top w:val="single" w:sz="4" w:space="0" w:color="auto"/>
            </w:tcBorders>
          </w:tcPr>
          <w:p w14:paraId="3D2EEAD4" w14:textId="77777777" w:rsidR="00661DE4" w:rsidRPr="00507C9F" w:rsidRDefault="00661DE4" w:rsidP="00661DE4">
            <w:pPr>
              <w:rPr>
                <w:i/>
                <w:sz w:val="16"/>
                <w:szCs w:val="16"/>
                <w:lang w:val="en-US"/>
              </w:rPr>
            </w:pPr>
            <w:r w:rsidRPr="00507C9F">
              <w:rPr>
                <w:i/>
                <w:sz w:val="16"/>
                <w:szCs w:val="16"/>
                <w:lang w:val="en-US"/>
              </w:rPr>
              <w:t>Direct or indirect community benefits</w:t>
            </w:r>
          </w:p>
        </w:tc>
        <w:tc>
          <w:tcPr>
            <w:tcW w:w="2254" w:type="dxa"/>
            <w:tcBorders>
              <w:top w:val="single" w:sz="4" w:space="0" w:color="auto"/>
            </w:tcBorders>
          </w:tcPr>
          <w:p w14:paraId="4BF3A3B4" w14:textId="77777777" w:rsidR="00661DE4" w:rsidRPr="00507C9F" w:rsidRDefault="00661DE4" w:rsidP="00661DE4">
            <w:pPr>
              <w:rPr>
                <w:sz w:val="16"/>
                <w:szCs w:val="16"/>
                <w:lang w:val="en-US"/>
              </w:rPr>
            </w:pPr>
            <w:r>
              <w:rPr>
                <w:sz w:val="16"/>
                <w:szCs w:val="16"/>
                <w:lang w:val="en-US"/>
              </w:rPr>
              <w:t>Direct</w:t>
            </w:r>
          </w:p>
        </w:tc>
        <w:tc>
          <w:tcPr>
            <w:tcW w:w="2254" w:type="dxa"/>
            <w:tcBorders>
              <w:top w:val="single" w:sz="4" w:space="0" w:color="auto"/>
            </w:tcBorders>
          </w:tcPr>
          <w:p w14:paraId="5CDBFE51" w14:textId="77777777" w:rsidR="00661DE4" w:rsidRPr="00507C9F" w:rsidRDefault="00661DE4" w:rsidP="00661DE4">
            <w:pPr>
              <w:rPr>
                <w:sz w:val="16"/>
                <w:szCs w:val="16"/>
                <w:lang w:val="en-US"/>
              </w:rPr>
            </w:pPr>
            <w:r>
              <w:rPr>
                <w:sz w:val="16"/>
                <w:szCs w:val="16"/>
                <w:lang w:val="en-US"/>
              </w:rPr>
              <w:t>Indirect</w:t>
            </w:r>
          </w:p>
        </w:tc>
        <w:tc>
          <w:tcPr>
            <w:tcW w:w="2254" w:type="dxa"/>
            <w:tcBorders>
              <w:top w:val="single" w:sz="4" w:space="0" w:color="auto"/>
            </w:tcBorders>
          </w:tcPr>
          <w:p w14:paraId="7EB83FAA" w14:textId="77777777" w:rsidR="00661DE4" w:rsidRPr="00507C9F" w:rsidRDefault="00661DE4" w:rsidP="00661DE4">
            <w:pPr>
              <w:rPr>
                <w:sz w:val="16"/>
                <w:szCs w:val="16"/>
                <w:lang w:val="en-US"/>
              </w:rPr>
            </w:pPr>
            <w:r>
              <w:rPr>
                <w:sz w:val="16"/>
                <w:szCs w:val="16"/>
                <w:lang w:val="en-US"/>
              </w:rPr>
              <w:t>Indirect</w:t>
            </w:r>
          </w:p>
        </w:tc>
      </w:tr>
      <w:tr w:rsidR="00661DE4" w:rsidRPr="00507C9F" w14:paraId="75B0615C" w14:textId="77777777" w:rsidTr="00661DE4">
        <w:tc>
          <w:tcPr>
            <w:tcW w:w="2254" w:type="dxa"/>
          </w:tcPr>
          <w:p w14:paraId="34B2B6AA" w14:textId="77777777" w:rsidR="00661DE4" w:rsidRPr="00507C9F" w:rsidRDefault="00661DE4" w:rsidP="00661DE4">
            <w:pPr>
              <w:rPr>
                <w:i/>
                <w:sz w:val="16"/>
                <w:szCs w:val="16"/>
                <w:lang w:val="en-US"/>
              </w:rPr>
            </w:pPr>
            <w:r w:rsidRPr="00507C9F">
              <w:rPr>
                <w:i/>
                <w:sz w:val="16"/>
                <w:szCs w:val="16"/>
                <w:lang w:val="en-US"/>
              </w:rPr>
              <w:t>Type of claims that can be made</w:t>
            </w:r>
          </w:p>
        </w:tc>
        <w:tc>
          <w:tcPr>
            <w:tcW w:w="2254" w:type="dxa"/>
          </w:tcPr>
          <w:p w14:paraId="47166203" w14:textId="77777777" w:rsidR="00661DE4" w:rsidRPr="00507C9F" w:rsidRDefault="00661DE4" w:rsidP="00661DE4">
            <w:pPr>
              <w:rPr>
                <w:sz w:val="16"/>
                <w:szCs w:val="16"/>
                <w:lang w:val="en-US"/>
              </w:rPr>
            </w:pPr>
            <w:r w:rsidRPr="00507C9F">
              <w:rPr>
                <w:sz w:val="16"/>
                <w:szCs w:val="16"/>
              </w:rPr>
              <w:t>Donations, gifts and sponsorships to another person resident in Victoria</w:t>
            </w:r>
            <w:r>
              <w:rPr>
                <w:sz w:val="16"/>
                <w:szCs w:val="16"/>
              </w:rPr>
              <w:t>.</w:t>
            </w:r>
          </w:p>
        </w:tc>
        <w:tc>
          <w:tcPr>
            <w:tcW w:w="2254" w:type="dxa"/>
          </w:tcPr>
          <w:p w14:paraId="40BAE727" w14:textId="77777777" w:rsidR="00661DE4" w:rsidRDefault="00661DE4" w:rsidP="00661DE4">
            <w:pPr>
              <w:rPr>
                <w:sz w:val="16"/>
                <w:szCs w:val="16"/>
              </w:rPr>
            </w:pPr>
            <w:r w:rsidRPr="00507C9F">
              <w:rPr>
                <w:sz w:val="16"/>
                <w:szCs w:val="16"/>
              </w:rPr>
              <w:t>Capital expenditures above $10,000</w:t>
            </w:r>
            <w:r>
              <w:rPr>
                <w:sz w:val="16"/>
                <w:szCs w:val="16"/>
              </w:rPr>
              <w:t>.</w:t>
            </w:r>
          </w:p>
          <w:p w14:paraId="5D42A9BE" w14:textId="77777777" w:rsidR="00661DE4" w:rsidRPr="00507C9F" w:rsidRDefault="00661DE4" w:rsidP="00661DE4">
            <w:pPr>
              <w:rPr>
                <w:sz w:val="16"/>
                <w:szCs w:val="16"/>
              </w:rPr>
            </w:pPr>
          </w:p>
          <w:p w14:paraId="6176D169" w14:textId="77777777" w:rsidR="00661DE4" w:rsidRDefault="00661DE4" w:rsidP="00661DE4">
            <w:pPr>
              <w:rPr>
                <w:sz w:val="16"/>
                <w:szCs w:val="16"/>
              </w:rPr>
            </w:pPr>
            <w:r w:rsidRPr="00507C9F">
              <w:rPr>
                <w:sz w:val="16"/>
                <w:szCs w:val="16"/>
              </w:rPr>
              <w:t>Financing costs (including interest)</w:t>
            </w:r>
            <w:r>
              <w:rPr>
                <w:sz w:val="16"/>
                <w:szCs w:val="16"/>
              </w:rPr>
              <w:t>.</w:t>
            </w:r>
          </w:p>
          <w:p w14:paraId="264C9EDC" w14:textId="77777777" w:rsidR="00661DE4" w:rsidRPr="00507C9F" w:rsidRDefault="00661DE4" w:rsidP="00661DE4">
            <w:pPr>
              <w:rPr>
                <w:sz w:val="16"/>
                <w:szCs w:val="16"/>
              </w:rPr>
            </w:pPr>
          </w:p>
          <w:p w14:paraId="64771F1C" w14:textId="77777777" w:rsidR="00661DE4" w:rsidRPr="00507C9F" w:rsidRDefault="00661DE4" w:rsidP="00661DE4">
            <w:pPr>
              <w:rPr>
                <w:sz w:val="16"/>
                <w:szCs w:val="16"/>
                <w:lang w:val="en-US"/>
              </w:rPr>
            </w:pPr>
            <w:r w:rsidRPr="00507C9F">
              <w:rPr>
                <w:sz w:val="16"/>
                <w:szCs w:val="16"/>
              </w:rPr>
              <w:t>Operating costs</w:t>
            </w:r>
            <w:r>
              <w:rPr>
                <w:sz w:val="16"/>
                <w:szCs w:val="16"/>
              </w:rPr>
              <w:t>.</w:t>
            </w:r>
          </w:p>
        </w:tc>
        <w:tc>
          <w:tcPr>
            <w:tcW w:w="2254" w:type="dxa"/>
          </w:tcPr>
          <w:p w14:paraId="48F1500F" w14:textId="77777777" w:rsidR="00661DE4" w:rsidRDefault="00661DE4" w:rsidP="00661DE4">
            <w:pPr>
              <w:rPr>
                <w:sz w:val="16"/>
                <w:szCs w:val="16"/>
              </w:rPr>
            </w:pPr>
            <w:r w:rsidRPr="00507C9F">
              <w:rPr>
                <w:sz w:val="16"/>
                <w:szCs w:val="16"/>
                <w:lang w:val="en-US"/>
              </w:rPr>
              <w:t xml:space="preserve">Provision of </w:t>
            </w:r>
            <w:r w:rsidRPr="00507C9F">
              <w:rPr>
                <w:sz w:val="16"/>
                <w:szCs w:val="16"/>
              </w:rPr>
              <w:t>responsible gambling measures and activities (except those required by law)</w:t>
            </w:r>
            <w:r>
              <w:rPr>
                <w:sz w:val="16"/>
                <w:szCs w:val="16"/>
              </w:rPr>
              <w:t>.</w:t>
            </w:r>
          </w:p>
          <w:p w14:paraId="6C9935F3" w14:textId="77777777" w:rsidR="00661DE4" w:rsidRPr="00507C9F" w:rsidRDefault="00661DE4" w:rsidP="00661DE4">
            <w:pPr>
              <w:rPr>
                <w:sz w:val="16"/>
                <w:szCs w:val="16"/>
              </w:rPr>
            </w:pPr>
          </w:p>
          <w:p w14:paraId="4CB797B3" w14:textId="77777777" w:rsidR="00661DE4" w:rsidRDefault="00661DE4" w:rsidP="00661DE4">
            <w:pPr>
              <w:rPr>
                <w:sz w:val="16"/>
                <w:szCs w:val="16"/>
              </w:rPr>
            </w:pPr>
            <w:r w:rsidRPr="00507C9F">
              <w:rPr>
                <w:sz w:val="16"/>
                <w:szCs w:val="16"/>
              </w:rPr>
              <w:t>Reimbursements for expenses incurred by volunteers</w:t>
            </w:r>
            <w:r>
              <w:rPr>
                <w:sz w:val="16"/>
                <w:szCs w:val="16"/>
              </w:rPr>
              <w:t>.</w:t>
            </w:r>
          </w:p>
          <w:p w14:paraId="3A438193" w14:textId="77777777" w:rsidR="00661DE4" w:rsidRPr="00507C9F" w:rsidRDefault="00661DE4" w:rsidP="00661DE4">
            <w:pPr>
              <w:rPr>
                <w:sz w:val="16"/>
                <w:szCs w:val="16"/>
              </w:rPr>
            </w:pPr>
          </w:p>
          <w:p w14:paraId="4ACEAC2F" w14:textId="77777777" w:rsidR="00661DE4" w:rsidRPr="00507C9F" w:rsidRDefault="00661DE4" w:rsidP="00661DE4">
            <w:pPr>
              <w:rPr>
                <w:sz w:val="16"/>
                <w:szCs w:val="16"/>
                <w:lang w:val="en-US"/>
              </w:rPr>
            </w:pPr>
            <w:r w:rsidRPr="00507C9F">
              <w:rPr>
                <w:sz w:val="16"/>
                <w:szCs w:val="16"/>
              </w:rPr>
              <w:t>The preparation and audit of a community benefit statement to a maximum of $3,000</w:t>
            </w:r>
            <w:r>
              <w:rPr>
                <w:sz w:val="16"/>
                <w:szCs w:val="16"/>
              </w:rPr>
              <w:t>.</w:t>
            </w:r>
          </w:p>
        </w:tc>
      </w:tr>
    </w:tbl>
    <w:p w14:paraId="0A9401E8" w14:textId="77777777" w:rsidR="00661DE4" w:rsidRDefault="00661DE4" w:rsidP="00661DE4">
      <w:pPr>
        <w:rPr>
          <w:lang w:val="en-US"/>
        </w:rPr>
      </w:pPr>
    </w:p>
    <w:p w14:paraId="6B19E1F1" w14:textId="77777777" w:rsidR="00661DE4" w:rsidRDefault="00661DE4" w:rsidP="00661DE4">
      <w:pPr>
        <w:rPr>
          <w:lang w:val="en-US"/>
        </w:rPr>
      </w:pPr>
      <w:r>
        <w:rPr>
          <w:lang w:val="en-US"/>
        </w:rPr>
        <w:t>The table below summarises community benefits that clubs in Victoria and Wyndham have claimed for 2015/16. While all clubs exceed the 8.33% threshold by a sizeable margin, the large majority of community benefits claimed were in Class B in the form of indirect community benefits. Wyndham clubs proportionally spend less on community benefits overall than all Victorian clubs.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1134"/>
        <w:gridCol w:w="992"/>
      </w:tblGrid>
      <w:tr w:rsidR="00661DE4" w:rsidRPr="00454082" w14:paraId="0965F3CF" w14:textId="77777777" w:rsidTr="00661DE4">
        <w:tc>
          <w:tcPr>
            <w:tcW w:w="3686" w:type="dxa"/>
            <w:tcBorders>
              <w:top w:val="single" w:sz="4" w:space="0" w:color="auto"/>
              <w:bottom w:val="single" w:sz="4" w:space="0" w:color="auto"/>
            </w:tcBorders>
          </w:tcPr>
          <w:p w14:paraId="5AFDD163" w14:textId="77777777" w:rsidR="00661DE4" w:rsidRPr="00454082" w:rsidRDefault="00661DE4" w:rsidP="00661DE4">
            <w:pPr>
              <w:rPr>
                <w:b/>
                <w:sz w:val="16"/>
                <w:szCs w:val="16"/>
                <w:lang w:val="en-US"/>
              </w:rPr>
            </w:pPr>
          </w:p>
        </w:tc>
        <w:tc>
          <w:tcPr>
            <w:tcW w:w="1134" w:type="dxa"/>
            <w:tcBorders>
              <w:top w:val="single" w:sz="4" w:space="0" w:color="auto"/>
              <w:bottom w:val="single" w:sz="4" w:space="0" w:color="auto"/>
            </w:tcBorders>
          </w:tcPr>
          <w:p w14:paraId="5656A01A" w14:textId="77777777" w:rsidR="00661DE4" w:rsidRPr="00454082" w:rsidRDefault="00661DE4" w:rsidP="00661DE4">
            <w:pPr>
              <w:rPr>
                <w:b/>
                <w:sz w:val="16"/>
                <w:szCs w:val="16"/>
                <w:lang w:val="en-US"/>
              </w:rPr>
            </w:pPr>
            <w:r w:rsidRPr="00454082">
              <w:rPr>
                <w:b/>
                <w:sz w:val="16"/>
                <w:szCs w:val="16"/>
                <w:lang w:val="en-US"/>
              </w:rPr>
              <w:t>Victoria</w:t>
            </w:r>
          </w:p>
        </w:tc>
        <w:tc>
          <w:tcPr>
            <w:tcW w:w="992" w:type="dxa"/>
            <w:tcBorders>
              <w:top w:val="single" w:sz="4" w:space="0" w:color="auto"/>
              <w:bottom w:val="single" w:sz="4" w:space="0" w:color="auto"/>
            </w:tcBorders>
          </w:tcPr>
          <w:p w14:paraId="5448D6D1" w14:textId="77777777" w:rsidR="00661DE4" w:rsidRPr="00454082" w:rsidRDefault="00661DE4" w:rsidP="00661DE4">
            <w:pPr>
              <w:rPr>
                <w:b/>
                <w:sz w:val="16"/>
                <w:szCs w:val="16"/>
                <w:lang w:val="en-US"/>
              </w:rPr>
            </w:pPr>
            <w:r w:rsidRPr="00454082">
              <w:rPr>
                <w:b/>
                <w:sz w:val="16"/>
                <w:szCs w:val="16"/>
                <w:lang w:val="en-US"/>
              </w:rPr>
              <w:t>Wyndham</w:t>
            </w:r>
          </w:p>
        </w:tc>
      </w:tr>
      <w:tr w:rsidR="00661DE4" w:rsidRPr="00454082" w14:paraId="4046BF29" w14:textId="77777777" w:rsidTr="00661DE4">
        <w:tc>
          <w:tcPr>
            <w:tcW w:w="3686" w:type="dxa"/>
            <w:tcBorders>
              <w:top w:val="single" w:sz="4" w:space="0" w:color="auto"/>
            </w:tcBorders>
          </w:tcPr>
          <w:p w14:paraId="2747048C" w14:textId="77777777" w:rsidR="00661DE4" w:rsidRPr="00454082" w:rsidRDefault="00661DE4" w:rsidP="00661DE4">
            <w:pPr>
              <w:rPr>
                <w:sz w:val="16"/>
                <w:szCs w:val="16"/>
                <w:lang w:val="en-US"/>
              </w:rPr>
            </w:pPr>
            <w:r w:rsidRPr="00454082">
              <w:rPr>
                <w:sz w:val="16"/>
                <w:szCs w:val="16"/>
                <w:lang w:val="en-US"/>
              </w:rPr>
              <w:t>Total community benefits claimed</w:t>
            </w:r>
          </w:p>
        </w:tc>
        <w:tc>
          <w:tcPr>
            <w:tcW w:w="1134" w:type="dxa"/>
            <w:tcBorders>
              <w:top w:val="single" w:sz="4" w:space="0" w:color="auto"/>
            </w:tcBorders>
          </w:tcPr>
          <w:p w14:paraId="6A86391C" w14:textId="77777777" w:rsidR="00661DE4" w:rsidRPr="00454082" w:rsidRDefault="00661DE4" w:rsidP="00661DE4">
            <w:pPr>
              <w:rPr>
                <w:sz w:val="16"/>
                <w:szCs w:val="16"/>
                <w:lang w:val="en-US"/>
              </w:rPr>
            </w:pPr>
            <w:r w:rsidRPr="00454082">
              <w:rPr>
                <w:sz w:val="16"/>
                <w:szCs w:val="16"/>
                <w:lang w:val="en-US"/>
              </w:rPr>
              <w:t>$283,443,046</w:t>
            </w:r>
          </w:p>
        </w:tc>
        <w:tc>
          <w:tcPr>
            <w:tcW w:w="992" w:type="dxa"/>
            <w:tcBorders>
              <w:top w:val="single" w:sz="4" w:space="0" w:color="auto"/>
            </w:tcBorders>
          </w:tcPr>
          <w:p w14:paraId="3A49E79A" w14:textId="77777777" w:rsidR="00661DE4" w:rsidRPr="00454082" w:rsidRDefault="00661DE4" w:rsidP="00661DE4">
            <w:pPr>
              <w:rPr>
                <w:sz w:val="16"/>
                <w:szCs w:val="16"/>
                <w:lang w:val="en-US"/>
              </w:rPr>
            </w:pPr>
            <w:r w:rsidRPr="00454082">
              <w:rPr>
                <w:sz w:val="16"/>
                <w:szCs w:val="16"/>
                <w:lang w:val="en-US"/>
              </w:rPr>
              <w:t>$6,755,194</w:t>
            </w:r>
          </w:p>
        </w:tc>
      </w:tr>
      <w:tr w:rsidR="00661DE4" w:rsidRPr="00454082" w14:paraId="1627518C" w14:textId="77777777" w:rsidTr="00661DE4">
        <w:tc>
          <w:tcPr>
            <w:tcW w:w="3686" w:type="dxa"/>
          </w:tcPr>
          <w:p w14:paraId="752054EB" w14:textId="77777777" w:rsidR="00661DE4" w:rsidRPr="00454082" w:rsidRDefault="00661DE4" w:rsidP="00661DE4">
            <w:pPr>
              <w:rPr>
                <w:sz w:val="16"/>
                <w:szCs w:val="16"/>
                <w:lang w:val="en-US"/>
              </w:rPr>
            </w:pPr>
            <w:r w:rsidRPr="00454082">
              <w:rPr>
                <w:sz w:val="16"/>
                <w:szCs w:val="16"/>
                <w:lang w:val="en-US"/>
              </w:rPr>
              <w:t>Community benefits as a proportion of EGM revenue</w:t>
            </w:r>
          </w:p>
        </w:tc>
        <w:tc>
          <w:tcPr>
            <w:tcW w:w="1134" w:type="dxa"/>
          </w:tcPr>
          <w:p w14:paraId="7466B115" w14:textId="77777777" w:rsidR="00661DE4" w:rsidRPr="00454082" w:rsidRDefault="00661DE4" w:rsidP="00661DE4">
            <w:pPr>
              <w:rPr>
                <w:sz w:val="16"/>
                <w:szCs w:val="16"/>
                <w:lang w:val="en-US"/>
              </w:rPr>
            </w:pPr>
            <w:r w:rsidRPr="00454082">
              <w:rPr>
                <w:sz w:val="16"/>
                <w:szCs w:val="16"/>
                <w:lang w:val="en-US"/>
              </w:rPr>
              <w:t>31.7%</w:t>
            </w:r>
          </w:p>
        </w:tc>
        <w:tc>
          <w:tcPr>
            <w:tcW w:w="992" w:type="dxa"/>
          </w:tcPr>
          <w:p w14:paraId="22A45A42" w14:textId="77777777" w:rsidR="00661DE4" w:rsidRPr="00454082" w:rsidRDefault="00661DE4" w:rsidP="00661DE4">
            <w:pPr>
              <w:rPr>
                <w:sz w:val="16"/>
                <w:szCs w:val="16"/>
                <w:lang w:val="en-US"/>
              </w:rPr>
            </w:pPr>
            <w:r w:rsidRPr="00454082">
              <w:rPr>
                <w:sz w:val="16"/>
                <w:szCs w:val="16"/>
                <w:lang w:val="en-US"/>
              </w:rPr>
              <w:t>19.76%</w:t>
            </w:r>
          </w:p>
        </w:tc>
      </w:tr>
      <w:tr w:rsidR="00661DE4" w:rsidRPr="00454082" w14:paraId="1952AE20" w14:textId="77777777" w:rsidTr="00661DE4">
        <w:tc>
          <w:tcPr>
            <w:tcW w:w="3686" w:type="dxa"/>
          </w:tcPr>
          <w:p w14:paraId="7D702AD8" w14:textId="77777777" w:rsidR="00661DE4" w:rsidRPr="00454082" w:rsidRDefault="00661DE4" w:rsidP="00661DE4">
            <w:pPr>
              <w:rPr>
                <w:sz w:val="16"/>
                <w:szCs w:val="16"/>
                <w:lang w:val="en-US"/>
              </w:rPr>
            </w:pPr>
            <w:r w:rsidRPr="00454082">
              <w:rPr>
                <w:sz w:val="16"/>
                <w:szCs w:val="16"/>
                <w:lang w:val="en-US"/>
              </w:rPr>
              <w:t>Class A proportion</w:t>
            </w:r>
            <w:r>
              <w:rPr>
                <w:sz w:val="16"/>
                <w:szCs w:val="16"/>
                <w:lang w:val="en-US"/>
              </w:rPr>
              <w:t xml:space="preserve"> of community benefits</w:t>
            </w:r>
          </w:p>
        </w:tc>
        <w:tc>
          <w:tcPr>
            <w:tcW w:w="1134" w:type="dxa"/>
          </w:tcPr>
          <w:p w14:paraId="53288925" w14:textId="77777777" w:rsidR="00661DE4" w:rsidRPr="00454082" w:rsidRDefault="00661DE4" w:rsidP="00661DE4">
            <w:pPr>
              <w:rPr>
                <w:sz w:val="16"/>
                <w:szCs w:val="16"/>
                <w:lang w:val="en-US"/>
              </w:rPr>
            </w:pPr>
            <w:r w:rsidRPr="00454082">
              <w:rPr>
                <w:sz w:val="16"/>
                <w:szCs w:val="16"/>
                <w:lang w:val="en-US"/>
              </w:rPr>
              <w:t>22.8%</w:t>
            </w:r>
          </w:p>
        </w:tc>
        <w:tc>
          <w:tcPr>
            <w:tcW w:w="992" w:type="dxa"/>
          </w:tcPr>
          <w:p w14:paraId="552220D7" w14:textId="77777777" w:rsidR="00661DE4" w:rsidRPr="00454082" w:rsidRDefault="00661DE4" w:rsidP="00661DE4">
            <w:pPr>
              <w:rPr>
                <w:sz w:val="16"/>
                <w:szCs w:val="16"/>
                <w:lang w:val="en-US"/>
              </w:rPr>
            </w:pPr>
            <w:r w:rsidRPr="00454082">
              <w:rPr>
                <w:sz w:val="16"/>
                <w:szCs w:val="16"/>
                <w:lang w:val="en-US"/>
              </w:rPr>
              <w:t>17.2%</w:t>
            </w:r>
          </w:p>
        </w:tc>
      </w:tr>
      <w:tr w:rsidR="00661DE4" w:rsidRPr="00454082" w14:paraId="27A50B73" w14:textId="77777777" w:rsidTr="00661DE4">
        <w:tc>
          <w:tcPr>
            <w:tcW w:w="3686" w:type="dxa"/>
          </w:tcPr>
          <w:p w14:paraId="13EEC92F" w14:textId="77777777" w:rsidR="00661DE4" w:rsidRPr="00454082" w:rsidRDefault="00661DE4" w:rsidP="00661DE4">
            <w:pPr>
              <w:rPr>
                <w:sz w:val="16"/>
                <w:szCs w:val="16"/>
                <w:lang w:val="en-US"/>
              </w:rPr>
            </w:pPr>
            <w:r w:rsidRPr="00454082">
              <w:rPr>
                <w:sz w:val="16"/>
                <w:szCs w:val="16"/>
                <w:lang w:val="en-US"/>
              </w:rPr>
              <w:t>Class B proportion</w:t>
            </w:r>
            <w:r>
              <w:rPr>
                <w:sz w:val="16"/>
                <w:szCs w:val="16"/>
                <w:lang w:val="en-US"/>
              </w:rPr>
              <w:t xml:space="preserve"> of community benefits</w:t>
            </w:r>
          </w:p>
        </w:tc>
        <w:tc>
          <w:tcPr>
            <w:tcW w:w="1134" w:type="dxa"/>
          </w:tcPr>
          <w:p w14:paraId="4AA8D575" w14:textId="77777777" w:rsidR="00661DE4" w:rsidRPr="00454082" w:rsidRDefault="00661DE4" w:rsidP="00661DE4">
            <w:pPr>
              <w:rPr>
                <w:sz w:val="16"/>
                <w:szCs w:val="16"/>
                <w:lang w:val="en-US"/>
              </w:rPr>
            </w:pPr>
            <w:r w:rsidRPr="00454082">
              <w:rPr>
                <w:sz w:val="16"/>
                <w:szCs w:val="16"/>
                <w:lang w:val="en-US"/>
              </w:rPr>
              <w:t>77%</w:t>
            </w:r>
          </w:p>
        </w:tc>
        <w:tc>
          <w:tcPr>
            <w:tcW w:w="992" w:type="dxa"/>
          </w:tcPr>
          <w:p w14:paraId="4A11CAFC" w14:textId="77777777" w:rsidR="00661DE4" w:rsidRPr="00454082" w:rsidRDefault="00661DE4" w:rsidP="00661DE4">
            <w:pPr>
              <w:rPr>
                <w:sz w:val="16"/>
                <w:szCs w:val="16"/>
                <w:lang w:val="en-US"/>
              </w:rPr>
            </w:pPr>
            <w:r w:rsidRPr="00454082">
              <w:rPr>
                <w:sz w:val="16"/>
                <w:szCs w:val="16"/>
                <w:lang w:val="en-US"/>
              </w:rPr>
              <w:t>82.6%</w:t>
            </w:r>
          </w:p>
        </w:tc>
      </w:tr>
      <w:tr w:rsidR="00661DE4" w:rsidRPr="00454082" w14:paraId="71D12CEE" w14:textId="77777777" w:rsidTr="00661DE4">
        <w:tc>
          <w:tcPr>
            <w:tcW w:w="3686" w:type="dxa"/>
            <w:tcBorders>
              <w:bottom w:val="single" w:sz="4" w:space="0" w:color="auto"/>
            </w:tcBorders>
          </w:tcPr>
          <w:p w14:paraId="01B515D2" w14:textId="77777777" w:rsidR="00661DE4" w:rsidRPr="00454082" w:rsidRDefault="00661DE4" w:rsidP="00661DE4">
            <w:pPr>
              <w:rPr>
                <w:sz w:val="16"/>
                <w:szCs w:val="16"/>
                <w:lang w:val="en-US"/>
              </w:rPr>
            </w:pPr>
            <w:r w:rsidRPr="00454082">
              <w:rPr>
                <w:sz w:val="16"/>
                <w:szCs w:val="16"/>
                <w:lang w:val="en-US"/>
              </w:rPr>
              <w:t>Class C proportion</w:t>
            </w:r>
            <w:r>
              <w:rPr>
                <w:sz w:val="16"/>
                <w:szCs w:val="16"/>
                <w:lang w:val="en-US"/>
              </w:rPr>
              <w:t xml:space="preserve"> of community benefits</w:t>
            </w:r>
          </w:p>
        </w:tc>
        <w:tc>
          <w:tcPr>
            <w:tcW w:w="1134" w:type="dxa"/>
            <w:tcBorders>
              <w:bottom w:val="single" w:sz="4" w:space="0" w:color="auto"/>
            </w:tcBorders>
          </w:tcPr>
          <w:p w14:paraId="1B12C101" w14:textId="77777777" w:rsidR="00661DE4" w:rsidRPr="00454082" w:rsidRDefault="00661DE4" w:rsidP="00661DE4">
            <w:pPr>
              <w:rPr>
                <w:sz w:val="16"/>
                <w:szCs w:val="16"/>
                <w:lang w:val="en-US"/>
              </w:rPr>
            </w:pPr>
            <w:r w:rsidRPr="00454082">
              <w:rPr>
                <w:sz w:val="16"/>
                <w:szCs w:val="16"/>
                <w:lang w:val="en-US"/>
              </w:rPr>
              <w:t>0.2%</w:t>
            </w:r>
          </w:p>
        </w:tc>
        <w:tc>
          <w:tcPr>
            <w:tcW w:w="992" w:type="dxa"/>
            <w:tcBorders>
              <w:bottom w:val="single" w:sz="4" w:space="0" w:color="auto"/>
            </w:tcBorders>
          </w:tcPr>
          <w:p w14:paraId="3983012F" w14:textId="77777777" w:rsidR="00661DE4" w:rsidRPr="00454082" w:rsidRDefault="00661DE4" w:rsidP="00661DE4">
            <w:pPr>
              <w:rPr>
                <w:sz w:val="16"/>
                <w:szCs w:val="16"/>
                <w:lang w:val="en-US"/>
              </w:rPr>
            </w:pPr>
            <w:r w:rsidRPr="00454082">
              <w:rPr>
                <w:sz w:val="16"/>
                <w:szCs w:val="16"/>
                <w:lang w:val="en-US"/>
              </w:rPr>
              <w:t>0.17%</w:t>
            </w:r>
          </w:p>
        </w:tc>
      </w:tr>
    </w:tbl>
    <w:p w14:paraId="00B5A3E5" w14:textId="77777777" w:rsidR="00661DE4" w:rsidRDefault="00661DE4" w:rsidP="00661DE4"/>
    <w:p w14:paraId="535D3E5D" w14:textId="77777777" w:rsidR="00661DE4" w:rsidRPr="0005525F" w:rsidRDefault="00661DE4" w:rsidP="00661DE4">
      <w:pPr>
        <w:rPr>
          <w:lang w:val="en-US"/>
        </w:rPr>
      </w:pPr>
      <w:r w:rsidRPr="0005525F">
        <w:lastRenderedPageBreak/>
        <w:t xml:space="preserve">Most clubs have relied on expenses under Class B – which allows operational expenses – to comply with or exceed the community benefits threshold. The figure below shows the extent to which the clubs rely on Class B benefits. </w:t>
      </w:r>
      <w:r>
        <w:t>O</w:t>
      </w:r>
      <w:r w:rsidRPr="0005525F">
        <w:rPr>
          <w:lang w:val="en-US"/>
        </w:rPr>
        <w:t>n average, clubs rather consistently spent 17% of community benefits on activities under Class A, 82.8% on activities under Class B, and 0.2% under activities in Class C.</w:t>
      </w:r>
      <w:r>
        <w:rPr>
          <w:lang w:val="en-US"/>
        </w:rPr>
        <w:t xml:space="preserve"> </w:t>
      </w:r>
      <w:r w:rsidRPr="0005525F">
        <w:rPr>
          <w:lang w:val="en-US"/>
        </w:rPr>
        <w:t xml:space="preserve">None of the five clubs have lodged anything other than their auditing expenses under Class C. They have the option to lodge costs from the provision of </w:t>
      </w:r>
      <w:r w:rsidRPr="0005525F">
        <w:t>responsible gambling measures and activities (excluding what is legally required); none of the clubs have done so.</w:t>
      </w:r>
      <w:r w:rsidRPr="0005525F">
        <w:rPr>
          <w:lang w:val="en-US"/>
        </w:rPr>
        <w:t xml:space="preserve"> </w:t>
      </w:r>
    </w:p>
    <w:p w14:paraId="3B2E5C24" w14:textId="77777777" w:rsidR="00661DE4" w:rsidRDefault="00661DE4" w:rsidP="00661DE4">
      <w:pPr>
        <w:rPr>
          <w:lang w:val="en-US"/>
        </w:rPr>
      </w:pPr>
      <w:r>
        <w:rPr>
          <w:lang w:val="en-US"/>
        </w:rPr>
        <w:t xml:space="preserve">None of the clubs’ </w:t>
      </w:r>
      <w:r w:rsidRPr="00D215E8">
        <w:rPr>
          <w:lang w:val="en-US"/>
        </w:rPr>
        <w:t>expenses under Class A exceed the minimum threshold</w:t>
      </w:r>
      <w:r>
        <w:rPr>
          <w:lang w:val="en-US"/>
        </w:rPr>
        <w:t>. The expenses</w:t>
      </w:r>
      <w:r w:rsidRPr="00D215E8">
        <w:rPr>
          <w:lang w:val="en-US"/>
        </w:rPr>
        <w:t xml:space="preserve"> range between 16% of the threshold (The Brook on Sneydes) and 55% of the threshold </w:t>
      </w:r>
      <w:r>
        <w:rPr>
          <w:lang w:val="en-US"/>
        </w:rPr>
        <w:t>(Hoppers Crossing Sports Club).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58"/>
        <w:gridCol w:w="984"/>
        <w:gridCol w:w="993"/>
        <w:gridCol w:w="1134"/>
        <w:gridCol w:w="759"/>
      </w:tblGrid>
      <w:tr w:rsidR="00661DE4" w:rsidRPr="001D6C05" w14:paraId="5C0764EF" w14:textId="77777777" w:rsidTr="00661DE4">
        <w:tc>
          <w:tcPr>
            <w:tcW w:w="2127" w:type="dxa"/>
            <w:tcBorders>
              <w:top w:val="single" w:sz="4" w:space="0" w:color="auto"/>
            </w:tcBorders>
            <w:noWrap/>
            <w:hideMark/>
          </w:tcPr>
          <w:p w14:paraId="7C9194A9" w14:textId="77777777" w:rsidR="00661DE4" w:rsidRPr="001D6C05" w:rsidRDefault="00661DE4" w:rsidP="00661DE4">
            <w:pPr>
              <w:rPr>
                <w:b/>
                <w:bCs/>
                <w:sz w:val="16"/>
                <w:szCs w:val="16"/>
              </w:rPr>
            </w:pPr>
            <w:r w:rsidRPr="001D6C05">
              <w:rPr>
                <w:b/>
                <w:bCs/>
                <w:sz w:val="16"/>
                <w:szCs w:val="16"/>
              </w:rPr>
              <w:t> </w:t>
            </w:r>
          </w:p>
        </w:tc>
        <w:tc>
          <w:tcPr>
            <w:tcW w:w="4677" w:type="dxa"/>
            <w:gridSpan w:val="5"/>
            <w:tcBorders>
              <w:top w:val="single" w:sz="4" w:space="0" w:color="auto"/>
            </w:tcBorders>
            <w:hideMark/>
          </w:tcPr>
          <w:p w14:paraId="78011173" w14:textId="77777777" w:rsidR="00661DE4" w:rsidRPr="001D6C05" w:rsidRDefault="00661DE4" w:rsidP="00661DE4">
            <w:pPr>
              <w:rPr>
                <w:b/>
                <w:bCs/>
                <w:sz w:val="16"/>
                <w:szCs w:val="16"/>
              </w:rPr>
            </w:pPr>
            <w:r w:rsidRPr="001D6C05">
              <w:rPr>
                <w:b/>
                <w:bCs/>
                <w:sz w:val="16"/>
                <w:szCs w:val="16"/>
                <w:lang w:val="en-US"/>
              </w:rPr>
              <w:t>Community benefits (2015/16)</w:t>
            </w:r>
          </w:p>
        </w:tc>
      </w:tr>
      <w:tr w:rsidR="00661DE4" w:rsidRPr="001D6C05" w14:paraId="62C738F4" w14:textId="77777777" w:rsidTr="00661DE4">
        <w:tc>
          <w:tcPr>
            <w:tcW w:w="2127" w:type="dxa"/>
            <w:tcBorders>
              <w:bottom w:val="single" w:sz="4" w:space="0" w:color="auto"/>
            </w:tcBorders>
            <w:noWrap/>
            <w:hideMark/>
          </w:tcPr>
          <w:p w14:paraId="22B7FDEB" w14:textId="77777777" w:rsidR="00661DE4" w:rsidRPr="001D6C05" w:rsidRDefault="00661DE4" w:rsidP="00661DE4">
            <w:pPr>
              <w:rPr>
                <w:sz w:val="16"/>
                <w:szCs w:val="16"/>
              </w:rPr>
            </w:pPr>
            <w:r w:rsidRPr="001D6C05">
              <w:rPr>
                <w:sz w:val="16"/>
                <w:szCs w:val="16"/>
              </w:rPr>
              <w:t> </w:t>
            </w:r>
          </w:p>
        </w:tc>
        <w:tc>
          <w:tcPr>
            <w:tcW w:w="858" w:type="dxa"/>
            <w:tcBorders>
              <w:bottom w:val="single" w:sz="4" w:space="0" w:color="auto"/>
            </w:tcBorders>
            <w:hideMark/>
          </w:tcPr>
          <w:p w14:paraId="0794D2BA" w14:textId="77777777" w:rsidR="00661DE4" w:rsidRPr="001D6C05" w:rsidRDefault="00661DE4" w:rsidP="00661DE4">
            <w:pPr>
              <w:rPr>
                <w:i/>
                <w:iCs/>
                <w:sz w:val="16"/>
                <w:szCs w:val="16"/>
              </w:rPr>
            </w:pPr>
            <w:r w:rsidRPr="001D6C05">
              <w:rPr>
                <w:i/>
                <w:iCs/>
                <w:sz w:val="16"/>
                <w:szCs w:val="16"/>
                <w:lang w:val="en-US"/>
              </w:rPr>
              <w:t>Threshold</w:t>
            </w:r>
          </w:p>
        </w:tc>
        <w:tc>
          <w:tcPr>
            <w:tcW w:w="984" w:type="dxa"/>
            <w:tcBorders>
              <w:bottom w:val="single" w:sz="4" w:space="0" w:color="auto"/>
            </w:tcBorders>
            <w:hideMark/>
          </w:tcPr>
          <w:p w14:paraId="7364DF71" w14:textId="77777777" w:rsidR="00661DE4" w:rsidRPr="001D6C05" w:rsidRDefault="00661DE4" w:rsidP="00661DE4">
            <w:pPr>
              <w:rPr>
                <w:i/>
                <w:iCs/>
                <w:sz w:val="16"/>
                <w:szCs w:val="16"/>
              </w:rPr>
            </w:pPr>
            <w:r w:rsidRPr="001D6C05">
              <w:rPr>
                <w:i/>
                <w:iCs/>
                <w:sz w:val="16"/>
                <w:szCs w:val="16"/>
                <w:lang w:val="en-US"/>
              </w:rPr>
              <w:t>Total</w:t>
            </w:r>
            <w:r>
              <w:rPr>
                <w:i/>
                <w:iCs/>
                <w:sz w:val="16"/>
                <w:szCs w:val="16"/>
                <w:lang w:val="en-US"/>
              </w:rPr>
              <w:t xml:space="preserve"> spent</w:t>
            </w:r>
          </w:p>
        </w:tc>
        <w:tc>
          <w:tcPr>
            <w:tcW w:w="993" w:type="dxa"/>
            <w:tcBorders>
              <w:bottom w:val="single" w:sz="4" w:space="0" w:color="auto"/>
            </w:tcBorders>
            <w:noWrap/>
            <w:hideMark/>
          </w:tcPr>
          <w:p w14:paraId="7FDCE2E4" w14:textId="77777777" w:rsidR="00661DE4" w:rsidRPr="001D6C05" w:rsidRDefault="00661DE4" w:rsidP="00661DE4">
            <w:pPr>
              <w:rPr>
                <w:i/>
                <w:iCs/>
                <w:sz w:val="16"/>
                <w:szCs w:val="16"/>
              </w:rPr>
            </w:pPr>
            <w:r w:rsidRPr="001D6C05">
              <w:rPr>
                <w:i/>
                <w:iCs/>
                <w:sz w:val="16"/>
                <w:szCs w:val="16"/>
                <w:lang w:val="en-US"/>
              </w:rPr>
              <w:t>Class A</w:t>
            </w:r>
          </w:p>
        </w:tc>
        <w:tc>
          <w:tcPr>
            <w:tcW w:w="1134" w:type="dxa"/>
            <w:tcBorders>
              <w:bottom w:val="single" w:sz="4" w:space="0" w:color="auto"/>
            </w:tcBorders>
            <w:noWrap/>
            <w:hideMark/>
          </w:tcPr>
          <w:p w14:paraId="57F933F2" w14:textId="77777777" w:rsidR="00661DE4" w:rsidRPr="001D6C05" w:rsidRDefault="00661DE4" w:rsidP="00661DE4">
            <w:pPr>
              <w:rPr>
                <w:i/>
                <w:iCs/>
                <w:sz w:val="16"/>
                <w:szCs w:val="16"/>
              </w:rPr>
            </w:pPr>
            <w:r w:rsidRPr="001D6C05">
              <w:rPr>
                <w:i/>
                <w:iCs/>
                <w:sz w:val="16"/>
                <w:szCs w:val="16"/>
                <w:lang w:val="en-US"/>
              </w:rPr>
              <w:t>Class B</w:t>
            </w:r>
          </w:p>
        </w:tc>
        <w:tc>
          <w:tcPr>
            <w:tcW w:w="708" w:type="dxa"/>
            <w:tcBorders>
              <w:bottom w:val="single" w:sz="4" w:space="0" w:color="auto"/>
            </w:tcBorders>
            <w:noWrap/>
            <w:hideMark/>
          </w:tcPr>
          <w:p w14:paraId="0E4AB325" w14:textId="77777777" w:rsidR="00661DE4" w:rsidRPr="001D6C05" w:rsidRDefault="00661DE4" w:rsidP="00661DE4">
            <w:pPr>
              <w:rPr>
                <w:i/>
                <w:iCs/>
                <w:sz w:val="16"/>
                <w:szCs w:val="16"/>
              </w:rPr>
            </w:pPr>
            <w:r w:rsidRPr="001D6C05">
              <w:rPr>
                <w:i/>
                <w:iCs/>
                <w:sz w:val="16"/>
                <w:szCs w:val="16"/>
              </w:rPr>
              <w:t>Class C</w:t>
            </w:r>
          </w:p>
        </w:tc>
      </w:tr>
      <w:tr w:rsidR="00661DE4" w:rsidRPr="001D6C05" w14:paraId="51C492FC" w14:textId="77777777" w:rsidTr="00661DE4">
        <w:tc>
          <w:tcPr>
            <w:tcW w:w="2127" w:type="dxa"/>
            <w:tcBorders>
              <w:top w:val="single" w:sz="4" w:space="0" w:color="auto"/>
            </w:tcBorders>
            <w:noWrap/>
            <w:hideMark/>
          </w:tcPr>
          <w:p w14:paraId="0FE0D06B" w14:textId="77777777" w:rsidR="00661DE4" w:rsidRPr="001D6C05" w:rsidRDefault="00661DE4" w:rsidP="00661DE4">
            <w:pPr>
              <w:rPr>
                <w:bCs/>
                <w:sz w:val="16"/>
                <w:szCs w:val="16"/>
              </w:rPr>
            </w:pPr>
            <w:r w:rsidRPr="001D6C05">
              <w:rPr>
                <w:bCs/>
                <w:sz w:val="16"/>
                <w:szCs w:val="16"/>
                <w:lang w:val="en-US"/>
              </w:rPr>
              <w:t>Hoppers Crossing Club</w:t>
            </w:r>
          </w:p>
        </w:tc>
        <w:tc>
          <w:tcPr>
            <w:tcW w:w="858" w:type="dxa"/>
            <w:tcBorders>
              <w:top w:val="single" w:sz="4" w:space="0" w:color="auto"/>
            </w:tcBorders>
            <w:hideMark/>
          </w:tcPr>
          <w:p w14:paraId="3EA8624D" w14:textId="77777777" w:rsidR="00661DE4" w:rsidRPr="001D6C05" w:rsidRDefault="00661DE4" w:rsidP="00661DE4">
            <w:pPr>
              <w:rPr>
                <w:sz w:val="16"/>
                <w:szCs w:val="16"/>
              </w:rPr>
            </w:pPr>
            <w:r w:rsidRPr="001D6C05">
              <w:rPr>
                <w:sz w:val="16"/>
                <w:szCs w:val="16"/>
              </w:rPr>
              <w:t>$543,644</w:t>
            </w:r>
          </w:p>
        </w:tc>
        <w:tc>
          <w:tcPr>
            <w:tcW w:w="984" w:type="dxa"/>
            <w:tcBorders>
              <w:top w:val="single" w:sz="4" w:space="0" w:color="auto"/>
            </w:tcBorders>
            <w:hideMark/>
          </w:tcPr>
          <w:p w14:paraId="5CCFFE1C" w14:textId="77777777" w:rsidR="00661DE4" w:rsidRPr="001D6C05" w:rsidRDefault="00661DE4" w:rsidP="00661DE4">
            <w:pPr>
              <w:rPr>
                <w:sz w:val="16"/>
                <w:szCs w:val="16"/>
              </w:rPr>
            </w:pPr>
            <w:r w:rsidRPr="001D6C05">
              <w:rPr>
                <w:sz w:val="16"/>
                <w:szCs w:val="16"/>
              </w:rPr>
              <w:t>$1,388,031</w:t>
            </w:r>
          </w:p>
        </w:tc>
        <w:tc>
          <w:tcPr>
            <w:tcW w:w="993" w:type="dxa"/>
            <w:tcBorders>
              <w:top w:val="single" w:sz="4" w:space="0" w:color="auto"/>
            </w:tcBorders>
            <w:noWrap/>
            <w:hideMark/>
          </w:tcPr>
          <w:p w14:paraId="325465B8" w14:textId="77777777" w:rsidR="00661DE4" w:rsidRPr="001D6C05" w:rsidRDefault="00661DE4" w:rsidP="00661DE4">
            <w:pPr>
              <w:rPr>
                <w:sz w:val="16"/>
                <w:szCs w:val="16"/>
              </w:rPr>
            </w:pPr>
            <w:r w:rsidRPr="001D6C05">
              <w:rPr>
                <w:sz w:val="16"/>
                <w:szCs w:val="16"/>
              </w:rPr>
              <w:t>14.70%</w:t>
            </w:r>
          </w:p>
        </w:tc>
        <w:tc>
          <w:tcPr>
            <w:tcW w:w="1134" w:type="dxa"/>
            <w:tcBorders>
              <w:top w:val="single" w:sz="4" w:space="0" w:color="auto"/>
            </w:tcBorders>
            <w:noWrap/>
            <w:hideMark/>
          </w:tcPr>
          <w:p w14:paraId="6ACF0CBF" w14:textId="77777777" w:rsidR="00661DE4" w:rsidRPr="001D6C05" w:rsidRDefault="00661DE4" w:rsidP="00661DE4">
            <w:pPr>
              <w:rPr>
                <w:sz w:val="16"/>
                <w:szCs w:val="16"/>
              </w:rPr>
            </w:pPr>
            <w:r w:rsidRPr="001D6C05">
              <w:rPr>
                <w:sz w:val="16"/>
                <w:szCs w:val="16"/>
              </w:rPr>
              <w:t>85.20%</w:t>
            </w:r>
          </w:p>
        </w:tc>
        <w:tc>
          <w:tcPr>
            <w:tcW w:w="708" w:type="dxa"/>
            <w:tcBorders>
              <w:top w:val="single" w:sz="4" w:space="0" w:color="auto"/>
            </w:tcBorders>
            <w:noWrap/>
            <w:hideMark/>
          </w:tcPr>
          <w:p w14:paraId="2428F17A" w14:textId="77777777" w:rsidR="00661DE4" w:rsidRPr="001D6C05" w:rsidRDefault="00661DE4" w:rsidP="00661DE4">
            <w:pPr>
              <w:rPr>
                <w:sz w:val="16"/>
                <w:szCs w:val="16"/>
              </w:rPr>
            </w:pPr>
            <w:r w:rsidRPr="001D6C05">
              <w:rPr>
                <w:sz w:val="16"/>
                <w:szCs w:val="16"/>
              </w:rPr>
              <w:t>0.10%</w:t>
            </w:r>
          </w:p>
        </w:tc>
      </w:tr>
      <w:tr w:rsidR="00661DE4" w:rsidRPr="001D6C05" w14:paraId="2E3B0F0D" w14:textId="77777777" w:rsidTr="00661DE4">
        <w:tc>
          <w:tcPr>
            <w:tcW w:w="2127" w:type="dxa"/>
            <w:noWrap/>
            <w:hideMark/>
          </w:tcPr>
          <w:p w14:paraId="7D47BA31" w14:textId="77777777" w:rsidR="00661DE4" w:rsidRPr="001D6C05" w:rsidRDefault="00661DE4" w:rsidP="00661DE4">
            <w:pPr>
              <w:rPr>
                <w:bCs/>
                <w:sz w:val="16"/>
                <w:szCs w:val="16"/>
              </w:rPr>
            </w:pPr>
            <w:r w:rsidRPr="001D6C05">
              <w:rPr>
                <w:bCs/>
                <w:sz w:val="16"/>
                <w:szCs w:val="16"/>
              </w:rPr>
              <w:t> </w:t>
            </w:r>
          </w:p>
        </w:tc>
        <w:tc>
          <w:tcPr>
            <w:tcW w:w="858" w:type="dxa"/>
            <w:hideMark/>
          </w:tcPr>
          <w:p w14:paraId="43BED22D" w14:textId="77777777" w:rsidR="00661DE4" w:rsidRPr="001D6C05" w:rsidRDefault="00661DE4" w:rsidP="00661DE4">
            <w:pPr>
              <w:rPr>
                <w:sz w:val="16"/>
                <w:szCs w:val="16"/>
              </w:rPr>
            </w:pPr>
            <w:r w:rsidRPr="001D6C05">
              <w:rPr>
                <w:sz w:val="16"/>
                <w:szCs w:val="16"/>
              </w:rPr>
              <w:t> </w:t>
            </w:r>
          </w:p>
        </w:tc>
        <w:tc>
          <w:tcPr>
            <w:tcW w:w="984" w:type="dxa"/>
            <w:hideMark/>
          </w:tcPr>
          <w:p w14:paraId="0A91E33D" w14:textId="77777777" w:rsidR="00661DE4" w:rsidRPr="001D6C05" w:rsidRDefault="00661DE4" w:rsidP="00661DE4">
            <w:pPr>
              <w:rPr>
                <w:sz w:val="16"/>
                <w:szCs w:val="16"/>
              </w:rPr>
            </w:pPr>
            <w:r w:rsidRPr="001D6C05">
              <w:rPr>
                <w:sz w:val="16"/>
                <w:szCs w:val="16"/>
              </w:rPr>
              <w:t> </w:t>
            </w:r>
          </w:p>
        </w:tc>
        <w:tc>
          <w:tcPr>
            <w:tcW w:w="993" w:type="dxa"/>
            <w:noWrap/>
            <w:hideMark/>
          </w:tcPr>
          <w:p w14:paraId="19C75B4D" w14:textId="77777777" w:rsidR="00661DE4" w:rsidRPr="001D6C05" w:rsidRDefault="00661DE4" w:rsidP="00661DE4">
            <w:pPr>
              <w:rPr>
                <w:sz w:val="16"/>
                <w:szCs w:val="16"/>
              </w:rPr>
            </w:pPr>
            <w:r>
              <w:rPr>
                <w:sz w:val="16"/>
                <w:szCs w:val="16"/>
              </w:rPr>
              <w:t>(</w:t>
            </w:r>
            <w:r w:rsidRPr="001D6C05">
              <w:rPr>
                <w:sz w:val="16"/>
                <w:szCs w:val="16"/>
              </w:rPr>
              <w:t>$203,709</w:t>
            </w:r>
            <w:r>
              <w:rPr>
                <w:sz w:val="16"/>
                <w:szCs w:val="16"/>
              </w:rPr>
              <w:t>)</w:t>
            </w:r>
          </w:p>
        </w:tc>
        <w:tc>
          <w:tcPr>
            <w:tcW w:w="1134" w:type="dxa"/>
            <w:noWrap/>
            <w:hideMark/>
          </w:tcPr>
          <w:p w14:paraId="10065F09" w14:textId="77777777" w:rsidR="00661DE4" w:rsidRPr="001D6C05" w:rsidRDefault="00661DE4" w:rsidP="00661DE4">
            <w:pPr>
              <w:rPr>
                <w:sz w:val="16"/>
                <w:szCs w:val="16"/>
              </w:rPr>
            </w:pPr>
            <w:r>
              <w:rPr>
                <w:sz w:val="16"/>
                <w:szCs w:val="16"/>
              </w:rPr>
              <w:t>(</w:t>
            </w:r>
            <w:r w:rsidRPr="001D6C05">
              <w:rPr>
                <w:sz w:val="16"/>
                <w:szCs w:val="16"/>
              </w:rPr>
              <w:t>$1,182,322</w:t>
            </w:r>
            <w:r>
              <w:rPr>
                <w:sz w:val="16"/>
                <w:szCs w:val="16"/>
              </w:rPr>
              <w:t>)</w:t>
            </w:r>
          </w:p>
        </w:tc>
        <w:tc>
          <w:tcPr>
            <w:tcW w:w="708" w:type="dxa"/>
            <w:noWrap/>
            <w:hideMark/>
          </w:tcPr>
          <w:p w14:paraId="5F788960" w14:textId="77777777" w:rsidR="00661DE4" w:rsidRPr="001D6C05" w:rsidRDefault="00661DE4" w:rsidP="00661DE4">
            <w:pPr>
              <w:rPr>
                <w:sz w:val="16"/>
                <w:szCs w:val="16"/>
              </w:rPr>
            </w:pPr>
            <w:r>
              <w:rPr>
                <w:sz w:val="16"/>
                <w:szCs w:val="16"/>
              </w:rPr>
              <w:t>(</w:t>
            </w:r>
            <w:r w:rsidRPr="001D6C05">
              <w:rPr>
                <w:sz w:val="16"/>
                <w:szCs w:val="16"/>
              </w:rPr>
              <w:t>$2,000</w:t>
            </w:r>
            <w:r>
              <w:rPr>
                <w:sz w:val="16"/>
                <w:szCs w:val="16"/>
              </w:rPr>
              <w:t>)</w:t>
            </w:r>
          </w:p>
        </w:tc>
      </w:tr>
      <w:tr w:rsidR="00661DE4" w:rsidRPr="001D6C05" w14:paraId="35B506CE" w14:textId="77777777" w:rsidTr="00661DE4">
        <w:tc>
          <w:tcPr>
            <w:tcW w:w="2127" w:type="dxa"/>
            <w:noWrap/>
            <w:hideMark/>
          </w:tcPr>
          <w:p w14:paraId="2ABD4422" w14:textId="77777777" w:rsidR="00661DE4" w:rsidRPr="001D6C05" w:rsidRDefault="00661DE4" w:rsidP="00661DE4">
            <w:pPr>
              <w:rPr>
                <w:bCs/>
                <w:sz w:val="16"/>
                <w:szCs w:val="16"/>
              </w:rPr>
            </w:pPr>
            <w:r w:rsidRPr="001D6C05">
              <w:rPr>
                <w:bCs/>
                <w:sz w:val="16"/>
                <w:szCs w:val="16"/>
                <w:lang w:val="en-US"/>
              </w:rPr>
              <w:t>Hoppers Crossing Sports Club</w:t>
            </w:r>
          </w:p>
        </w:tc>
        <w:tc>
          <w:tcPr>
            <w:tcW w:w="858" w:type="dxa"/>
            <w:hideMark/>
          </w:tcPr>
          <w:p w14:paraId="39EBA119" w14:textId="77777777" w:rsidR="00661DE4" w:rsidRPr="001D6C05" w:rsidRDefault="00661DE4" w:rsidP="00661DE4">
            <w:pPr>
              <w:rPr>
                <w:sz w:val="16"/>
                <w:szCs w:val="16"/>
              </w:rPr>
            </w:pPr>
            <w:r w:rsidRPr="001D6C05">
              <w:rPr>
                <w:sz w:val="16"/>
                <w:szCs w:val="16"/>
              </w:rPr>
              <w:t>$323,427</w:t>
            </w:r>
          </w:p>
        </w:tc>
        <w:tc>
          <w:tcPr>
            <w:tcW w:w="984" w:type="dxa"/>
            <w:hideMark/>
          </w:tcPr>
          <w:p w14:paraId="1F900045" w14:textId="77777777" w:rsidR="00661DE4" w:rsidRPr="001D6C05" w:rsidRDefault="00661DE4" w:rsidP="00661DE4">
            <w:pPr>
              <w:rPr>
                <w:sz w:val="16"/>
                <w:szCs w:val="16"/>
              </w:rPr>
            </w:pPr>
            <w:r w:rsidRPr="001D6C05">
              <w:rPr>
                <w:sz w:val="16"/>
                <w:szCs w:val="16"/>
              </w:rPr>
              <w:t>$545,086</w:t>
            </w:r>
          </w:p>
        </w:tc>
        <w:tc>
          <w:tcPr>
            <w:tcW w:w="993" w:type="dxa"/>
            <w:noWrap/>
            <w:hideMark/>
          </w:tcPr>
          <w:p w14:paraId="726715C7" w14:textId="77777777" w:rsidR="00661DE4" w:rsidRPr="001D6C05" w:rsidRDefault="00661DE4" w:rsidP="00661DE4">
            <w:pPr>
              <w:rPr>
                <w:sz w:val="16"/>
                <w:szCs w:val="16"/>
              </w:rPr>
            </w:pPr>
            <w:r w:rsidRPr="001D6C05">
              <w:rPr>
                <w:sz w:val="16"/>
                <w:szCs w:val="16"/>
              </w:rPr>
              <w:t>32.90%</w:t>
            </w:r>
          </w:p>
        </w:tc>
        <w:tc>
          <w:tcPr>
            <w:tcW w:w="1134" w:type="dxa"/>
            <w:noWrap/>
            <w:hideMark/>
          </w:tcPr>
          <w:p w14:paraId="77BB74C4" w14:textId="77777777" w:rsidR="00661DE4" w:rsidRPr="001D6C05" w:rsidRDefault="00661DE4" w:rsidP="00661DE4">
            <w:pPr>
              <w:rPr>
                <w:sz w:val="16"/>
                <w:szCs w:val="16"/>
              </w:rPr>
            </w:pPr>
            <w:r w:rsidRPr="001D6C05">
              <w:rPr>
                <w:sz w:val="16"/>
                <w:szCs w:val="16"/>
              </w:rPr>
              <w:t>66.60%</w:t>
            </w:r>
          </w:p>
        </w:tc>
        <w:tc>
          <w:tcPr>
            <w:tcW w:w="708" w:type="dxa"/>
            <w:noWrap/>
            <w:hideMark/>
          </w:tcPr>
          <w:p w14:paraId="6D7B7E9C" w14:textId="77777777" w:rsidR="00661DE4" w:rsidRPr="001D6C05" w:rsidRDefault="00661DE4" w:rsidP="00661DE4">
            <w:pPr>
              <w:rPr>
                <w:sz w:val="16"/>
                <w:szCs w:val="16"/>
              </w:rPr>
            </w:pPr>
            <w:r w:rsidRPr="001D6C05">
              <w:rPr>
                <w:sz w:val="16"/>
                <w:szCs w:val="16"/>
              </w:rPr>
              <w:t>0.60%</w:t>
            </w:r>
          </w:p>
        </w:tc>
      </w:tr>
      <w:tr w:rsidR="00661DE4" w:rsidRPr="001D6C05" w14:paraId="02ECD197" w14:textId="77777777" w:rsidTr="00661DE4">
        <w:tc>
          <w:tcPr>
            <w:tcW w:w="2127" w:type="dxa"/>
            <w:noWrap/>
            <w:hideMark/>
          </w:tcPr>
          <w:p w14:paraId="7CD2E878" w14:textId="77777777" w:rsidR="00661DE4" w:rsidRPr="001D6C05" w:rsidRDefault="00661DE4" w:rsidP="00661DE4">
            <w:pPr>
              <w:rPr>
                <w:bCs/>
                <w:sz w:val="16"/>
                <w:szCs w:val="16"/>
              </w:rPr>
            </w:pPr>
            <w:r w:rsidRPr="001D6C05">
              <w:rPr>
                <w:bCs/>
                <w:sz w:val="16"/>
                <w:szCs w:val="16"/>
              </w:rPr>
              <w:t> </w:t>
            </w:r>
          </w:p>
        </w:tc>
        <w:tc>
          <w:tcPr>
            <w:tcW w:w="858" w:type="dxa"/>
            <w:hideMark/>
          </w:tcPr>
          <w:p w14:paraId="422D496A" w14:textId="77777777" w:rsidR="00661DE4" w:rsidRPr="001D6C05" w:rsidRDefault="00661DE4" w:rsidP="00661DE4">
            <w:pPr>
              <w:rPr>
                <w:sz w:val="16"/>
                <w:szCs w:val="16"/>
              </w:rPr>
            </w:pPr>
            <w:r w:rsidRPr="001D6C05">
              <w:rPr>
                <w:sz w:val="16"/>
                <w:szCs w:val="16"/>
              </w:rPr>
              <w:t> </w:t>
            </w:r>
          </w:p>
        </w:tc>
        <w:tc>
          <w:tcPr>
            <w:tcW w:w="984" w:type="dxa"/>
            <w:hideMark/>
          </w:tcPr>
          <w:p w14:paraId="5E66513B" w14:textId="77777777" w:rsidR="00661DE4" w:rsidRPr="001D6C05" w:rsidRDefault="00661DE4" w:rsidP="00661DE4">
            <w:pPr>
              <w:rPr>
                <w:sz w:val="16"/>
                <w:szCs w:val="16"/>
              </w:rPr>
            </w:pPr>
            <w:r w:rsidRPr="001D6C05">
              <w:rPr>
                <w:sz w:val="16"/>
                <w:szCs w:val="16"/>
              </w:rPr>
              <w:t> </w:t>
            </w:r>
          </w:p>
        </w:tc>
        <w:tc>
          <w:tcPr>
            <w:tcW w:w="993" w:type="dxa"/>
            <w:noWrap/>
            <w:hideMark/>
          </w:tcPr>
          <w:p w14:paraId="16472997" w14:textId="77777777" w:rsidR="00661DE4" w:rsidRPr="001D6C05" w:rsidRDefault="00661DE4" w:rsidP="00661DE4">
            <w:pPr>
              <w:rPr>
                <w:sz w:val="16"/>
                <w:szCs w:val="16"/>
              </w:rPr>
            </w:pPr>
            <w:r>
              <w:rPr>
                <w:sz w:val="16"/>
                <w:szCs w:val="16"/>
              </w:rPr>
              <w:t>(</w:t>
            </w:r>
            <w:r w:rsidRPr="001D6C05">
              <w:rPr>
                <w:sz w:val="16"/>
                <w:szCs w:val="16"/>
              </w:rPr>
              <w:t>$180,270</w:t>
            </w:r>
            <w:r>
              <w:rPr>
                <w:sz w:val="16"/>
                <w:szCs w:val="16"/>
              </w:rPr>
              <w:t>)</w:t>
            </w:r>
          </w:p>
        </w:tc>
        <w:tc>
          <w:tcPr>
            <w:tcW w:w="1134" w:type="dxa"/>
            <w:noWrap/>
            <w:hideMark/>
          </w:tcPr>
          <w:p w14:paraId="43134193" w14:textId="77777777" w:rsidR="00661DE4" w:rsidRPr="001D6C05" w:rsidRDefault="00661DE4" w:rsidP="00661DE4">
            <w:pPr>
              <w:rPr>
                <w:sz w:val="16"/>
                <w:szCs w:val="16"/>
              </w:rPr>
            </w:pPr>
            <w:r>
              <w:rPr>
                <w:sz w:val="16"/>
                <w:szCs w:val="16"/>
              </w:rPr>
              <w:t>(</w:t>
            </w:r>
            <w:r w:rsidRPr="001D6C05">
              <w:rPr>
                <w:sz w:val="16"/>
                <w:szCs w:val="16"/>
              </w:rPr>
              <w:t>$362,816</w:t>
            </w:r>
            <w:r>
              <w:rPr>
                <w:sz w:val="16"/>
                <w:szCs w:val="16"/>
              </w:rPr>
              <w:t>)</w:t>
            </w:r>
          </w:p>
        </w:tc>
        <w:tc>
          <w:tcPr>
            <w:tcW w:w="708" w:type="dxa"/>
            <w:noWrap/>
            <w:hideMark/>
          </w:tcPr>
          <w:p w14:paraId="54C77553" w14:textId="77777777" w:rsidR="00661DE4" w:rsidRPr="001D6C05" w:rsidRDefault="00661DE4" w:rsidP="00661DE4">
            <w:pPr>
              <w:rPr>
                <w:sz w:val="16"/>
                <w:szCs w:val="16"/>
              </w:rPr>
            </w:pPr>
            <w:r>
              <w:rPr>
                <w:sz w:val="16"/>
                <w:szCs w:val="16"/>
              </w:rPr>
              <w:t>(</w:t>
            </w:r>
            <w:r w:rsidRPr="001D6C05">
              <w:rPr>
                <w:sz w:val="16"/>
                <w:szCs w:val="16"/>
              </w:rPr>
              <w:t>$3,000</w:t>
            </w:r>
            <w:r>
              <w:rPr>
                <w:sz w:val="16"/>
                <w:szCs w:val="16"/>
              </w:rPr>
              <w:t>)</w:t>
            </w:r>
          </w:p>
        </w:tc>
      </w:tr>
      <w:tr w:rsidR="00661DE4" w:rsidRPr="001D6C05" w14:paraId="1746EDC2" w14:textId="77777777" w:rsidTr="00661DE4">
        <w:tc>
          <w:tcPr>
            <w:tcW w:w="2127" w:type="dxa"/>
            <w:noWrap/>
            <w:hideMark/>
          </w:tcPr>
          <w:p w14:paraId="52313890" w14:textId="77777777" w:rsidR="00661DE4" w:rsidRPr="001D6C05" w:rsidRDefault="00661DE4" w:rsidP="00661DE4">
            <w:pPr>
              <w:rPr>
                <w:bCs/>
                <w:sz w:val="16"/>
                <w:szCs w:val="16"/>
              </w:rPr>
            </w:pPr>
            <w:r w:rsidRPr="001D6C05">
              <w:rPr>
                <w:bCs/>
                <w:sz w:val="16"/>
                <w:szCs w:val="16"/>
                <w:lang w:val="en-US"/>
              </w:rPr>
              <w:t>Italian Sports Club Werribee</w:t>
            </w:r>
          </w:p>
        </w:tc>
        <w:tc>
          <w:tcPr>
            <w:tcW w:w="858" w:type="dxa"/>
            <w:hideMark/>
          </w:tcPr>
          <w:p w14:paraId="4553DAAF" w14:textId="77777777" w:rsidR="00661DE4" w:rsidRPr="001D6C05" w:rsidRDefault="00661DE4" w:rsidP="00661DE4">
            <w:pPr>
              <w:rPr>
                <w:sz w:val="16"/>
                <w:szCs w:val="16"/>
              </w:rPr>
            </w:pPr>
            <w:r w:rsidRPr="001D6C05">
              <w:rPr>
                <w:sz w:val="16"/>
                <w:szCs w:val="16"/>
              </w:rPr>
              <w:t>$431,604</w:t>
            </w:r>
          </w:p>
        </w:tc>
        <w:tc>
          <w:tcPr>
            <w:tcW w:w="984" w:type="dxa"/>
            <w:hideMark/>
          </w:tcPr>
          <w:p w14:paraId="3CF94B68" w14:textId="77777777" w:rsidR="00661DE4" w:rsidRPr="001D6C05" w:rsidRDefault="00661DE4" w:rsidP="00661DE4">
            <w:pPr>
              <w:rPr>
                <w:sz w:val="16"/>
                <w:szCs w:val="16"/>
              </w:rPr>
            </w:pPr>
            <w:r w:rsidRPr="001D6C05">
              <w:rPr>
                <w:sz w:val="16"/>
                <w:szCs w:val="16"/>
              </w:rPr>
              <w:t>$1,272,212</w:t>
            </w:r>
          </w:p>
        </w:tc>
        <w:tc>
          <w:tcPr>
            <w:tcW w:w="993" w:type="dxa"/>
            <w:noWrap/>
            <w:hideMark/>
          </w:tcPr>
          <w:p w14:paraId="42CEBAD5" w14:textId="77777777" w:rsidR="00661DE4" w:rsidRPr="001D6C05" w:rsidRDefault="00661DE4" w:rsidP="00661DE4">
            <w:pPr>
              <w:rPr>
                <w:sz w:val="16"/>
                <w:szCs w:val="16"/>
              </w:rPr>
            </w:pPr>
            <w:r w:rsidRPr="001D6C05">
              <w:rPr>
                <w:sz w:val="16"/>
                <w:szCs w:val="16"/>
              </w:rPr>
              <w:t>15.50%</w:t>
            </w:r>
          </w:p>
        </w:tc>
        <w:tc>
          <w:tcPr>
            <w:tcW w:w="1134" w:type="dxa"/>
            <w:noWrap/>
            <w:hideMark/>
          </w:tcPr>
          <w:p w14:paraId="0FE2665B" w14:textId="77777777" w:rsidR="00661DE4" w:rsidRPr="001D6C05" w:rsidRDefault="00661DE4" w:rsidP="00661DE4">
            <w:pPr>
              <w:rPr>
                <w:sz w:val="16"/>
                <w:szCs w:val="16"/>
              </w:rPr>
            </w:pPr>
            <w:r w:rsidRPr="001D6C05">
              <w:rPr>
                <w:sz w:val="16"/>
                <w:szCs w:val="16"/>
              </w:rPr>
              <w:t>84.30%</w:t>
            </w:r>
          </w:p>
        </w:tc>
        <w:tc>
          <w:tcPr>
            <w:tcW w:w="708" w:type="dxa"/>
            <w:noWrap/>
            <w:hideMark/>
          </w:tcPr>
          <w:p w14:paraId="7B7D76E3" w14:textId="77777777" w:rsidR="00661DE4" w:rsidRPr="001D6C05" w:rsidRDefault="00661DE4" w:rsidP="00661DE4">
            <w:pPr>
              <w:rPr>
                <w:sz w:val="16"/>
                <w:szCs w:val="16"/>
              </w:rPr>
            </w:pPr>
            <w:r w:rsidRPr="001D6C05">
              <w:rPr>
                <w:sz w:val="16"/>
                <w:szCs w:val="16"/>
              </w:rPr>
              <w:t>0.20%</w:t>
            </w:r>
          </w:p>
        </w:tc>
      </w:tr>
      <w:tr w:rsidR="00661DE4" w:rsidRPr="001D6C05" w14:paraId="3B584335" w14:textId="77777777" w:rsidTr="00661DE4">
        <w:tc>
          <w:tcPr>
            <w:tcW w:w="2127" w:type="dxa"/>
            <w:noWrap/>
          </w:tcPr>
          <w:p w14:paraId="171BF8BB" w14:textId="77777777" w:rsidR="00661DE4" w:rsidRPr="001D6C05" w:rsidRDefault="00661DE4" w:rsidP="00661DE4">
            <w:pPr>
              <w:rPr>
                <w:bCs/>
                <w:sz w:val="16"/>
                <w:szCs w:val="16"/>
              </w:rPr>
            </w:pPr>
          </w:p>
        </w:tc>
        <w:tc>
          <w:tcPr>
            <w:tcW w:w="858" w:type="dxa"/>
          </w:tcPr>
          <w:p w14:paraId="2721DBD4" w14:textId="77777777" w:rsidR="00661DE4" w:rsidRPr="001D6C05" w:rsidRDefault="00661DE4" w:rsidP="00661DE4">
            <w:pPr>
              <w:rPr>
                <w:sz w:val="16"/>
                <w:szCs w:val="16"/>
              </w:rPr>
            </w:pPr>
          </w:p>
        </w:tc>
        <w:tc>
          <w:tcPr>
            <w:tcW w:w="984" w:type="dxa"/>
          </w:tcPr>
          <w:p w14:paraId="58FB08D7" w14:textId="77777777" w:rsidR="00661DE4" w:rsidRPr="001D6C05" w:rsidRDefault="00661DE4" w:rsidP="00661DE4">
            <w:pPr>
              <w:rPr>
                <w:sz w:val="16"/>
                <w:szCs w:val="16"/>
              </w:rPr>
            </w:pPr>
          </w:p>
        </w:tc>
        <w:tc>
          <w:tcPr>
            <w:tcW w:w="993" w:type="dxa"/>
            <w:noWrap/>
          </w:tcPr>
          <w:p w14:paraId="318EFC1E" w14:textId="77777777" w:rsidR="00661DE4" w:rsidRDefault="00661DE4" w:rsidP="00661DE4">
            <w:pPr>
              <w:rPr>
                <w:sz w:val="16"/>
                <w:szCs w:val="16"/>
              </w:rPr>
            </w:pPr>
          </w:p>
        </w:tc>
        <w:tc>
          <w:tcPr>
            <w:tcW w:w="1134" w:type="dxa"/>
            <w:noWrap/>
          </w:tcPr>
          <w:p w14:paraId="556AE6D6" w14:textId="77777777" w:rsidR="00661DE4" w:rsidRDefault="00661DE4" w:rsidP="00661DE4">
            <w:pPr>
              <w:rPr>
                <w:sz w:val="16"/>
                <w:szCs w:val="16"/>
              </w:rPr>
            </w:pPr>
          </w:p>
        </w:tc>
        <w:tc>
          <w:tcPr>
            <w:tcW w:w="708" w:type="dxa"/>
            <w:noWrap/>
          </w:tcPr>
          <w:p w14:paraId="012674B7" w14:textId="77777777" w:rsidR="00661DE4" w:rsidRDefault="00661DE4" w:rsidP="00661DE4">
            <w:pPr>
              <w:rPr>
                <w:sz w:val="16"/>
                <w:szCs w:val="16"/>
              </w:rPr>
            </w:pPr>
          </w:p>
        </w:tc>
      </w:tr>
      <w:tr w:rsidR="00661DE4" w:rsidRPr="001D6C05" w14:paraId="032796F6" w14:textId="77777777" w:rsidTr="00661DE4">
        <w:tc>
          <w:tcPr>
            <w:tcW w:w="2127" w:type="dxa"/>
            <w:noWrap/>
            <w:hideMark/>
          </w:tcPr>
          <w:p w14:paraId="441720F8" w14:textId="77777777" w:rsidR="00661DE4" w:rsidRPr="001D6C05" w:rsidRDefault="00661DE4" w:rsidP="00661DE4">
            <w:pPr>
              <w:rPr>
                <w:bCs/>
                <w:sz w:val="16"/>
                <w:szCs w:val="16"/>
              </w:rPr>
            </w:pPr>
            <w:r w:rsidRPr="001D6C05">
              <w:rPr>
                <w:bCs/>
                <w:sz w:val="16"/>
                <w:szCs w:val="16"/>
              </w:rPr>
              <w:t> </w:t>
            </w:r>
          </w:p>
        </w:tc>
        <w:tc>
          <w:tcPr>
            <w:tcW w:w="858" w:type="dxa"/>
            <w:hideMark/>
          </w:tcPr>
          <w:p w14:paraId="4658B1CB" w14:textId="77777777" w:rsidR="00661DE4" w:rsidRPr="001D6C05" w:rsidRDefault="00661DE4" w:rsidP="00661DE4">
            <w:pPr>
              <w:rPr>
                <w:sz w:val="16"/>
                <w:szCs w:val="16"/>
              </w:rPr>
            </w:pPr>
            <w:r w:rsidRPr="001D6C05">
              <w:rPr>
                <w:sz w:val="16"/>
                <w:szCs w:val="16"/>
              </w:rPr>
              <w:t> </w:t>
            </w:r>
          </w:p>
        </w:tc>
        <w:tc>
          <w:tcPr>
            <w:tcW w:w="984" w:type="dxa"/>
            <w:hideMark/>
          </w:tcPr>
          <w:p w14:paraId="53A9A192" w14:textId="77777777" w:rsidR="00661DE4" w:rsidRPr="001D6C05" w:rsidRDefault="00661DE4" w:rsidP="00661DE4">
            <w:pPr>
              <w:rPr>
                <w:sz w:val="16"/>
                <w:szCs w:val="16"/>
              </w:rPr>
            </w:pPr>
            <w:r w:rsidRPr="001D6C05">
              <w:rPr>
                <w:sz w:val="16"/>
                <w:szCs w:val="16"/>
              </w:rPr>
              <w:t> </w:t>
            </w:r>
          </w:p>
        </w:tc>
        <w:tc>
          <w:tcPr>
            <w:tcW w:w="993" w:type="dxa"/>
            <w:noWrap/>
            <w:hideMark/>
          </w:tcPr>
          <w:p w14:paraId="2DA83C4D" w14:textId="77777777" w:rsidR="00661DE4" w:rsidRPr="001D6C05" w:rsidRDefault="00661DE4" w:rsidP="00661DE4">
            <w:pPr>
              <w:rPr>
                <w:sz w:val="16"/>
                <w:szCs w:val="16"/>
              </w:rPr>
            </w:pPr>
            <w:r>
              <w:rPr>
                <w:sz w:val="16"/>
                <w:szCs w:val="16"/>
              </w:rPr>
              <w:t>(</w:t>
            </w:r>
            <w:r w:rsidRPr="001D6C05">
              <w:rPr>
                <w:sz w:val="16"/>
                <w:szCs w:val="16"/>
              </w:rPr>
              <w:t>$197,352</w:t>
            </w:r>
            <w:r>
              <w:rPr>
                <w:sz w:val="16"/>
                <w:szCs w:val="16"/>
              </w:rPr>
              <w:t>)</w:t>
            </w:r>
          </w:p>
        </w:tc>
        <w:tc>
          <w:tcPr>
            <w:tcW w:w="1134" w:type="dxa"/>
            <w:noWrap/>
            <w:hideMark/>
          </w:tcPr>
          <w:p w14:paraId="2A1E1CC8" w14:textId="77777777" w:rsidR="00661DE4" w:rsidRPr="001D6C05" w:rsidRDefault="00661DE4" w:rsidP="00661DE4">
            <w:pPr>
              <w:rPr>
                <w:sz w:val="16"/>
                <w:szCs w:val="16"/>
              </w:rPr>
            </w:pPr>
            <w:r>
              <w:rPr>
                <w:sz w:val="16"/>
                <w:szCs w:val="16"/>
              </w:rPr>
              <w:t>(</w:t>
            </w:r>
            <w:r w:rsidRPr="001D6C05">
              <w:rPr>
                <w:sz w:val="16"/>
                <w:szCs w:val="16"/>
              </w:rPr>
              <w:t>$1,072,385</w:t>
            </w:r>
            <w:r>
              <w:rPr>
                <w:sz w:val="16"/>
                <w:szCs w:val="16"/>
              </w:rPr>
              <w:t>)</w:t>
            </w:r>
          </w:p>
        </w:tc>
        <w:tc>
          <w:tcPr>
            <w:tcW w:w="708" w:type="dxa"/>
            <w:noWrap/>
            <w:hideMark/>
          </w:tcPr>
          <w:p w14:paraId="6042F115" w14:textId="77777777" w:rsidR="00661DE4" w:rsidRPr="001D6C05" w:rsidRDefault="00661DE4" w:rsidP="00661DE4">
            <w:pPr>
              <w:rPr>
                <w:sz w:val="16"/>
                <w:szCs w:val="16"/>
              </w:rPr>
            </w:pPr>
            <w:r>
              <w:rPr>
                <w:sz w:val="16"/>
                <w:szCs w:val="16"/>
              </w:rPr>
              <w:t>(</w:t>
            </w:r>
            <w:r w:rsidRPr="001D6C05">
              <w:rPr>
                <w:sz w:val="16"/>
                <w:szCs w:val="16"/>
              </w:rPr>
              <w:t>$2,475</w:t>
            </w:r>
            <w:r>
              <w:rPr>
                <w:sz w:val="16"/>
                <w:szCs w:val="16"/>
              </w:rPr>
              <w:t>)</w:t>
            </w:r>
          </w:p>
        </w:tc>
      </w:tr>
      <w:tr w:rsidR="00661DE4" w:rsidRPr="001D6C05" w14:paraId="4970CA23" w14:textId="77777777" w:rsidTr="00661DE4">
        <w:tc>
          <w:tcPr>
            <w:tcW w:w="2127" w:type="dxa"/>
            <w:noWrap/>
            <w:hideMark/>
          </w:tcPr>
          <w:p w14:paraId="20D7172A" w14:textId="77777777" w:rsidR="00661DE4" w:rsidRPr="001D6C05" w:rsidRDefault="00661DE4" w:rsidP="00661DE4">
            <w:pPr>
              <w:rPr>
                <w:bCs/>
                <w:sz w:val="16"/>
                <w:szCs w:val="16"/>
              </w:rPr>
            </w:pPr>
            <w:r w:rsidRPr="001D6C05">
              <w:rPr>
                <w:bCs/>
                <w:sz w:val="16"/>
                <w:szCs w:val="16"/>
                <w:lang w:val="en-US"/>
              </w:rPr>
              <w:t>The Brook on Sneydes</w:t>
            </w:r>
          </w:p>
        </w:tc>
        <w:tc>
          <w:tcPr>
            <w:tcW w:w="858" w:type="dxa"/>
            <w:hideMark/>
          </w:tcPr>
          <w:p w14:paraId="76A057C9" w14:textId="77777777" w:rsidR="00661DE4" w:rsidRPr="001D6C05" w:rsidRDefault="00661DE4" w:rsidP="00661DE4">
            <w:pPr>
              <w:rPr>
                <w:sz w:val="16"/>
                <w:szCs w:val="16"/>
              </w:rPr>
            </w:pPr>
            <w:r w:rsidRPr="001D6C05">
              <w:rPr>
                <w:sz w:val="16"/>
                <w:szCs w:val="16"/>
              </w:rPr>
              <w:t>$419,423</w:t>
            </w:r>
          </w:p>
        </w:tc>
        <w:tc>
          <w:tcPr>
            <w:tcW w:w="984" w:type="dxa"/>
            <w:hideMark/>
          </w:tcPr>
          <w:p w14:paraId="0054AD57" w14:textId="77777777" w:rsidR="00661DE4" w:rsidRPr="001D6C05" w:rsidRDefault="00661DE4" w:rsidP="00661DE4">
            <w:pPr>
              <w:rPr>
                <w:sz w:val="16"/>
                <w:szCs w:val="16"/>
              </w:rPr>
            </w:pPr>
            <w:r w:rsidRPr="001D6C05">
              <w:rPr>
                <w:sz w:val="16"/>
                <w:szCs w:val="16"/>
              </w:rPr>
              <w:t>$963,124</w:t>
            </w:r>
          </w:p>
        </w:tc>
        <w:tc>
          <w:tcPr>
            <w:tcW w:w="993" w:type="dxa"/>
            <w:noWrap/>
            <w:hideMark/>
          </w:tcPr>
          <w:p w14:paraId="4B8A84B3" w14:textId="77777777" w:rsidR="00661DE4" w:rsidRPr="001D6C05" w:rsidRDefault="00661DE4" w:rsidP="00661DE4">
            <w:pPr>
              <w:rPr>
                <w:sz w:val="16"/>
                <w:szCs w:val="16"/>
              </w:rPr>
            </w:pPr>
            <w:r w:rsidRPr="001D6C05">
              <w:rPr>
                <w:sz w:val="16"/>
                <w:szCs w:val="16"/>
              </w:rPr>
              <w:t>7.00%</w:t>
            </w:r>
          </w:p>
        </w:tc>
        <w:tc>
          <w:tcPr>
            <w:tcW w:w="1134" w:type="dxa"/>
            <w:noWrap/>
            <w:hideMark/>
          </w:tcPr>
          <w:p w14:paraId="1C11934F" w14:textId="77777777" w:rsidR="00661DE4" w:rsidRPr="001D6C05" w:rsidRDefault="00661DE4" w:rsidP="00661DE4">
            <w:pPr>
              <w:rPr>
                <w:sz w:val="16"/>
                <w:szCs w:val="16"/>
              </w:rPr>
            </w:pPr>
            <w:r w:rsidRPr="001D6C05">
              <w:rPr>
                <w:sz w:val="16"/>
                <w:szCs w:val="16"/>
              </w:rPr>
              <w:t>92.90%</w:t>
            </w:r>
          </w:p>
        </w:tc>
        <w:tc>
          <w:tcPr>
            <w:tcW w:w="708" w:type="dxa"/>
            <w:noWrap/>
            <w:hideMark/>
          </w:tcPr>
          <w:p w14:paraId="694CFC1D" w14:textId="77777777" w:rsidR="00661DE4" w:rsidRPr="001D6C05" w:rsidRDefault="00661DE4" w:rsidP="00661DE4">
            <w:pPr>
              <w:rPr>
                <w:sz w:val="16"/>
                <w:szCs w:val="16"/>
              </w:rPr>
            </w:pPr>
            <w:r w:rsidRPr="001D6C05">
              <w:rPr>
                <w:sz w:val="16"/>
                <w:szCs w:val="16"/>
              </w:rPr>
              <w:t>0.10%</w:t>
            </w:r>
          </w:p>
        </w:tc>
      </w:tr>
      <w:tr w:rsidR="00661DE4" w:rsidRPr="001D6C05" w14:paraId="438F5814" w14:textId="77777777" w:rsidTr="00661DE4">
        <w:tc>
          <w:tcPr>
            <w:tcW w:w="2127" w:type="dxa"/>
            <w:noWrap/>
            <w:hideMark/>
          </w:tcPr>
          <w:p w14:paraId="0707863F" w14:textId="77777777" w:rsidR="00661DE4" w:rsidRPr="001D6C05" w:rsidRDefault="00661DE4" w:rsidP="00661DE4">
            <w:pPr>
              <w:rPr>
                <w:bCs/>
                <w:sz w:val="16"/>
                <w:szCs w:val="16"/>
              </w:rPr>
            </w:pPr>
            <w:r w:rsidRPr="001D6C05">
              <w:rPr>
                <w:bCs/>
                <w:sz w:val="16"/>
                <w:szCs w:val="16"/>
              </w:rPr>
              <w:t> </w:t>
            </w:r>
          </w:p>
        </w:tc>
        <w:tc>
          <w:tcPr>
            <w:tcW w:w="858" w:type="dxa"/>
            <w:hideMark/>
          </w:tcPr>
          <w:p w14:paraId="46B5D715" w14:textId="77777777" w:rsidR="00661DE4" w:rsidRPr="001D6C05" w:rsidRDefault="00661DE4" w:rsidP="00661DE4">
            <w:pPr>
              <w:rPr>
                <w:sz w:val="16"/>
                <w:szCs w:val="16"/>
              </w:rPr>
            </w:pPr>
            <w:r w:rsidRPr="001D6C05">
              <w:rPr>
                <w:sz w:val="16"/>
                <w:szCs w:val="16"/>
              </w:rPr>
              <w:t> </w:t>
            </w:r>
          </w:p>
        </w:tc>
        <w:tc>
          <w:tcPr>
            <w:tcW w:w="984" w:type="dxa"/>
            <w:hideMark/>
          </w:tcPr>
          <w:p w14:paraId="4909234F" w14:textId="77777777" w:rsidR="00661DE4" w:rsidRPr="001D6C05" w:rsidRDefault="00661DE4" w:rsidP="00661DE4">
            <w:pPr>
              <w:rPr>
                <w:sz w:val="16"/>
                <w:szCs w:val="16"/>
              </w:rPr>
            </w:pPr>
            <w:r w:rsidRPr="001D6C05">
              <w:rPr>
                <w:sz w:val="16"/>
                <w:szCs w:val="16"/>
              </w:rPr>
              <w:t> </w:t>
            </w:r>
          </w:p>
        </w:tc>
        <w:tc>
          <w:tcPr>
            <w:tcW w:w="993" w:type="dxa"/>
            <w:noWrap/>
            <w:hideMark/>
          </w:tcPr>
          <w:p w14:paraId="7E9C7000" w14:textId="77777777" w:rsidR="00661DE4" w:rsidRPr="001D6C05" w:rsidRDefault="00661DE4" w:rsidP="00661DE4">
            <w:pPr>
              <w:rPr>
                <w:sz w:val="16"/>
                <w:szCs w:val="16"/>
              </w:rPr>
            </w:pPr>
            <w:r>
              <w:rPr>
                <w:sz w:val="16"/>
                <w:szCs w:val="16"/>
              </w:rPr>
              <w:t>(</w:t>
            </w:r>
            <w:r w:rsidRPr="001D6C05">
              <w:rPr>
                <w:sz w:val="16"/>
                <w:szCs w:val="16"/>
              </w:rPr>
              <w:t>$67,229</w:t>
            </w:r>
            <w:r>
              <w:rPr>
                <w:sz w:val="16"/>
                <w:szCs w:val="16"/>
              </w:rPr>
              <w:t>)</w:t>
            </w:r>
          </w:p>
        </w:tc>
        <w:tc>
          <w:tcPr>
            <w:tcW w:w="1134" w:type="dxa"/>
            <w:noWrap/>
            <w:hideMark/>
          </w:tcPr>
          <w:p w14:paraId="5281BC31" w14:textId="77777777" w:rsidR="00661DE4" w:rsidRPr="001D6C05" w:rsidRDefault="00661DE4" w:rsidP="00661DE4">
            <w:pPr>
              <w:rPr>
                <w:sz w:val="16"/>
                <w:szCs w:val="16"/>
              </w:rPr>
            </w:pPr>
            <w:r>
              <w:rPr>
                <w:sz w:val="16"/>
                <w:szCs w:val="16"/>
              </w:rPr>
              <w:t>(</w:t>
            </w:r>
            <w:r w:rsidRPr="001D6C05">
              <w:rPr>
                <w:sz w:val="16"/>
                <w:szCs w:val="16"/>
              </w:rPr>
              <w:t>$894,895</w:t>
            </w:r>
            <w:r>
              <w:rPr>
                <w:sz w:val="16"/>
                <w:szCs w:val="16"/>
              </w:rPr>
              <w:t>)</w:t>
            </w:r>
          </w:p>
        </w:tc>
        <w:tc>
          <w:tcPr>
            <w:tcW w:w="708" w:type="dxa"/>
            <w:noWrap/>
            <w:hideMark/>
          </w:tcPr>
          <w:p w14:paraId="561D77F2" w14:textId="77777777" w:rsidR="00661DE4" w:rsidRPr="001D6C05" w:rsidRDefault="00661DE4" w:rsidP="00661DE4">
            <w:pPr>
              <w:rPr>
                <w:sz w:val="16"/>
                <w:szCs w:val="16"/>
              </w:rPr>
            </w:pPr>
            <w:r>
              <w:rPr>
                <w:sz w:val="16"/>
                <w:szCs w:val="16"/>
              </w:rPr>
              <w:t>(</w:t>
            </w:r>
            <w:r w:rsidRPr="001D6C05">
              <w:rPr>
                <w:sz w:val="16"/>
                <w:szCs w:val="16"/>
              </w:rPr>
              <w:t>$1,000</w:t>
            </w:r>
            <w:r>
              <w:rPr>
                <w:sz w:val="16"/>
                <w:szCs w:val="16"/>
              </w:rPr>
              <w:t>)</w:t>
            </w:r>
          </w:p>
        </w:tc>
      </w:tr>
      <w:tr w:rsidR="00661DE4" w:rsidRPr="001D6C05" w14:paraId="4708EFEE" w14:textId="77777777" w:rsidTr="00661DE4">
        <w:tc>
          <w:tcPr>
            <w:tcW w:w="2127" w:type="dxa"/>
            <w:noWrap/>
            <w:hideMark/>
          </w:tcPr>
          <w:p w14:paraId="6D32D6F2" w14:textId="77777777" w:rsidR="00661DE4" w:rsidRPr="001D6C05" w:rsidRDefault="00661DE4" w:rsidP="00661DE4">
            <w:pPr>
              <w:rPr>
                <w:bCs/>
                <w:sz w:val="16"/>
                <w:szCs w:val="16"/>
              </w:rPr>
            </w:pPr>
            <w:r w:rsidRPr="001D6C05">
              <w:rPr>
                <w:bCs/>
                <w:sz w:val="16"/>
                <w:szCs w:val="16"/>
                <w:lang w:val="en-US"/>
              </w:rPr>
              <w:t>The Tigers Clubhouse</w:t>
            </w:r>
          </w:p>
        </w:tc>
        <w:tc>
          <w:tcPr>
            <w:tcW w:w="858" w:type="dxa"/>
            <w:hideMark/>
          </w:tcPr>
          <w:p w14:paraId="526D0064" w14:textId="77777777" w:rsidR="00661DE4" w:rsidRPr="001D6C05" w:rsidRDefault="00661DE4" w:rsidP="00661DE4">
            <w:pPr>
              <w:rPr>
                <w:sz w:val="16"/>
                <w:szCs w:val="16"/>
              </w:rPr>
            </w:pPr>
            <w:r w:rsidRPr="001D6C05">
              <w:rPr>
                <w:sz w:val="16"/>
                <w:szCs w:val="16"/>
              </w:rPr>
              <w:t>$873,283</w:t>
            </w:r>
          </w:p>
        </w:tc>
        <w:tc>
          <w:tcPr>
            <w:tcW w:w="984" w:type="dxa"/>
            <w:hideMark/>
          </w:tcPr>
          <w:p w14:paraId="3AB4ED8C" w14:textId="77777777" w:rsidR="00661DE4" w:rsidRPr="001D6C05" w:rsidRDefault="00661DE4" w:rsidP="00661DE4">
            <w:pPr>
              <w:rPr>
                <w:sz w:val="16"/>
                <w:szCs w:val="16"/>
              </w:rPr>
            </w:pPr>
            <w:r w:rsidRPr="001D6C05">
              <w:rPr>
                <w:sz w:val="16"/>
                <w:szCs w:val="16"/>
              </w:rPr>
              <w:t>$2,192,170</w:t>
            </w:r>
          </w:p>
        </w:tc>
        <w:tc>
          <w:tcPr>
            <w:tcW w:w="993" w:type="dxa"/>
            <w:noWrap/>
            <w:hideMark/>
          </w:tcPr>
          <w:p w14:paraId="4A09D8F1" w14:textId="77777777" w:rsidR="00661DE4" w:rsidRPr="001D6C05" w:rsidRDefault="00661DE4" w:rsidP="00661DE4">
            <w:pPr>
              <w:rPr>
                <w:sz w:val="16"/>
                <w:szCs w:val="16"/>
              </w:rPr>
            </w:pPr>
            <w:r w:rsidRPr="001D6C05">
              <w:rPr>
                <w:sz w:val="16"/>
                <w:szCs w:val="16"/>
              </w:rPr>
              <w:t>14.80%</w:t>
            </w:r>
          </w:p>
        </w:tc>
        <w:tc>
          <w:tcPr>
            <w:tcW w:w="1134" w:type="dxa"/>
            <w:noWrap/>
            <w:hideMark/>
          </w:tcPr>
          <w:p w14:paraId="76D48185" w14:textId="77777777" w:rsidR="00661DE4" w:rsidRPr="001D6C05" w:rsidRDefault="00661DE4" w:rsidP="00661DE4">
            <w:pPr>
              <w:rPr>
                <w:sz w:val="16"/>
                <w:szCs w:val="16"/>
              </w:rPr>
            </w:pPr>
            <w:r w:rsidRPr="001D6C05">
              <w:rPr>
                <w:sz w:val="16"/>
                <w:szCs w:val="16"/>
              </w:rPr>
              <w:t>85.10%</w:t>
            </w:r>
          </w:p>
        </w:tc>
        <w:tc>
          <w:tcPr>
            <w:tcW w:w="708" w:type="dxa"/>
            <w:noWrap/>
            <w:hideMark/>
          </w:tcPr>
          <w:p w14:paraId="5179C1B4" w14:textId="77777777" w:rsidR="00661DE4" w:rsidRPr="001D6C05" w:rsidRDefault="00661DE4" w:rsidP="00661DE4">
            <w:pPr>
              <w:rPr>
                <w:sz w:val="16"/>
                <w:szCs w:val="16"/>
              </w:rPr>
            </w:pPr>
            <w:r w:rsidRPr="001D6C05">
              <w:rPr>
                <w:sz w:val="16"/>
                <w:szCs w:val="16"/>
              </w:rPr>
              <w:t>0.10%</w:t>
            </w:r>
          </w:p>
        </w:tc>
      </w:tr>
      <w:tr w:rsidR="00661DE4" w:rsidRPr="001D6C05" w14:paraId="4255CD72" w14:textId="77777777" w:rsidTr="00661DE4">
        <w:tc>
          <w:tcPr>
            <w:tcW w:w="2127" w:type="dxa"/>
            <w:tcBorders>
              <w:bottom w:val="single" w:sz="4" w:space="0" w:color="auto"/>
            </w:tcBorders>
            <w:noWrap/>
            <w:hideMark/>
          </w:tcPr>
          <w:p w14:paraId="3CE959A0" w14:textId="77777777" w:rsidR="00661DE4" w:rsidRPr="001D6C05" w:rsidRDefault="00661DE4" w:rsidP="00661DE4">
            <w:pPr>
              <w:rPr>
                <w:sz w:val="16"/>
                <w:szCs w:val="16"/>
              </w:rPr>
            </w:pPr>
            <w:r w:rsidRPr="001D6C05">
              <w:rPr>
                <w:sz w:val="16"/>
                <w:szCs w:val="16"/>
              </w:rPr>
              <w:t> </w:t>
            </w:r>
          </w:p>
        </w:tc>
        <w:tc>
          <w:tcPr>
            <w:tcW w:w="858" w:type="dxa"/>
            <w:tcBorders>
              <w:bottom w:val="single" w:sz="4" w:space="0" w:color="auto"/>
            </w:tcBorders>
            <w:hideMark/>
          </w:tcPr>
          <w:p w14:paraId="5F2012A2" w14:textId="77777777" w:rsidR="00661DE4" w:rsidRPr="001D6C05" w:rsidRDefault="00661DE4" w:rsidP="00661DE4">
            <w:pPr>
              <w:rPr>
                <w:sz w:val="16"/>
                <w:szCs w:val="16"/>
              </w:rPr>
            </w:pPr>
            <w:r w:rsidRPr="001D6C05">
              <w:rPr>
                <w:sz w:val="16"/>
                <w:szCs w:val="16"/>
              </w:rPr>
              <w:t> </w:t>
            </w:r>
          </w:p>
        </w:tc>
        <w:tc>
          <w:tcPr>
            <w:tcW w:w="984" w:type="dxa"/>
            <w:tcBorders>
              <w:bottom w:val="single" w:sz="4" w:space="0" w:color="auto"/>
            </w:tcBorders>
            <w:hideMark/>
          </w:tcPr>
          <w:p w14:paraId="6C77C3F0" w14:textId="77777777" w:rsidR="00661DE4" w:rsidRPr="001D6C05" w:rsidRDefault="00661DE4" w:rsidP="00661DE4">
            <w:pPr>
              <w:rPr>
                <w:sz w:val="16"/>
                <w:szCs w:val="16"/>
              </w:rPr>
            </w:pPr>
            <w:r w:rsidRPr="001D6C05">
              <w:rPr>
                <w:sz w:val="16"/>
                <w:szCs w:val="16"/>
              </w:rPr>
              <w:t> </w:t>
            </w:r>
          </w:p>
        </w:tc>
        <w:tc>
          <w:tcPr>
            <w:tcW w:w="993" w:type="dxa"/>
            <w:tcBorders>
              <w:bottom w:val="single" w:sz="4" w:space="0" w:color="auto"/>
            </w:tcBorders>
            <w:noWrap/>
            <w:hideMark/>
          </w:tcPr>
          <w:p w14:paraId="49A4CE64" w14:textId="77777777" w:rsidR="00661DE4" w:rsidRPr="001D6C05" w:rsidRDefault="00661DE4" w:rsidP="00661DE4">
            <w:pPr>
              <w:rPr>
                <w:sz w:val="16"/>
                <w:szCs w:val="16"/>
              </w:rPr>
            </w:pPr>
            <w:r>
              <w:rPr>
                <w:sz w:val="16"/>
                <w:szCs w:val="16"/>
              </w:rPr>
              <w:t>(</w:t>
            </w:r>
            <w:r w:rsidRPr="001D6C05">
              <w:rPr>
                <w:sz w:val="16"/>
                <w:szCs w:val="16"/>
              </w:rPr>
              <w:t>$325,054</w:t>
            </w:r>
            <w:r>
              <w:rPr>
                <w:sz w:val="16"/>
                <w:szCs w:val="16"/>
              </w:rPr>
              <w:t>)</w:t>
            </w:r>
          </w:p>
        </w:tc>
        <w:tc>
          <w:tcPr>
            <w:tcW w:w="1134" w:type="dxa"/>
            <w:tcBorders>
              <w:bottom w:val="single" w:sz="4" w:space="0" w:color="auto"/>
            </w:tcBorders>
            <w:noWrap/>
            <w:hideMark/>
          </w:tcPr>
          <w:p w14:paraId="528EA413" w14:textId="77777777" w:rsidR="00661DE4" w:rsidRPr="001D6C05" w:rsidRDefault="00661DE4" w:rsidP="00661DE4">
            <w:pPr>
              <w:rPr>
                <w:sz w:val="16"/>
                <w:szCs w:val="16"/>
              </w:rPr>
            </w:pPr>
            <w:r>
              <w:rPr>
                <w:sz w:val="16"/>
                <w:szCs w:val="16"/>
              </w:rPr>
              <w:t>(</w:t>
            </w:r>
            <w:r w:rsidRPr="001D6C05">
              <w:rPr>
                <w:sz w:val="16"/>
                <w:szCs w:val="16"/>
              </w:rPr>
              <w:t>$1,865,121</w:t>
            </w:r>
            <w:r>
              <w:rPr>
                <w:sz w:val="16"/>
                <w:szCs w:val="16"/>
              </w:rPr>
              <w:t>)</w:t>
            </w:r>
          </w:p>
        </w:tc>
        <w:tc>
          <w:tcPr>
            <w:tcW w:w="708" w:type="dxa"/>
            <w:tcBorders>
              <w:bottom w:val="single" w:sz="4" w:space="0" w:color="auto"/>
            </w:tcBorders>
            <w:noWrap/>
            <w:hideMark/>
          </w:tcPr>
          <w:p w14:paraId="45394D43" w14:textId="77777777" w:rsidR="00661DE4" w:rsidRPr="001D6C05" w:rsidRDefault="00661DE4" w:rsidP="00661DE4">
            <w:pPr>
              <w:rPr>
                <w:sz w:val="16"/>
                <w:szCs w:val="16"/>
              </w:rPr>
            </w:pPr>
            <w:r>
              <w:rPr>
                <w:sz w:val="16"/>
                <w:szCs w:val="16"/>
              </w:rPr>
              <w:t>(</w:t>
            </w:r>
            <w:r w:rsidRPr="001D6C05">
              <w:rPr>
                <w:sz w:val="16"/>
                <w:szCs w:val="16"/>
              </w:rPr>
              <w:t>$1,995</w:t>
            </w:r>
            <w:r>
              <w:rPr>
                <w:sz w:val="16"/>
                <w:szCs w:val="16"/>
              </w:rPr>
              <w:t>)</w:t>
            </w:r>
          </w:p>
        </w:tc>
      </w:tr>
    </w:tbl>
    <w:p w14:paraId="70B75A8A" w14:textId="77777777" w:rsidR="00661DE4" w:rsidRDefault="00661DE4" w:rsidP="00661DE4">
      <w:pPr>
        <w:rPr>
          <w:lang w:val="en-US"/>
        </w:rPr>
      </w:pPr>
    </w:p>
    <w:p w14:paraId="45194EF4" w14:textId="77777777" w:rsidR="00661DE4" w:rsidRDefault="00661DE4" w:rsidP="00661DE4">
      <w:pPr>
        <w:rPr>
          <w:lang w:val="en-US"/>
        </w:rPr>
      </w:pPr>
    </w:p>
    <w:p w14:paraId="76F6B2FD" w14:textId="77777777" w:rsidR="00661DE4" w:rsidRDefault="00661DE4" w:rsidP="00661DE4">
      <w:pPr>
        <w:rPr>
          <w:lang w:val="en-US"/>
        </w:rPr>
      </w:pPr>
      <w:r>
        <w:t>As a last illustrative point, the table below shows the broad categories that the clubs have claimed expenses under in Class B. Generally, w</w:t>
      </w:r>
      <w:r w:rsidRPr="00BB0267">
        <w:rPr>
          <w:lang w:val="en-US"/>
        </w:rPr>
        <w:t>ages account for 55% to 80% of the clubs’ expenses under Class B</w:t>
      </w:r>
      <w:r>
        <w:rPr>
          <w:lang w:val="en-US"/>
        </w:rPr>
        <w:t>. All but one club (Hoppers Crossing Sports Club) lodge wage expenses under Class B to such an extent that they exceed the minimum community benefits threshold. So, if the clubs were so inclined, all but one could lodge community benefits statements consisting entirely of expenses under Class B.</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851"/>
        <w:gridCol w:w="1134"/>
        <w:gridCol w:w="1276"/>
        <w:gridCol w:w="708"/>
        <w:gridCol w:w="993"/>
      </w:tblGrid>
      <w:tr w:rsidR="00661DE4" w:rsidRPr="00454082" w14:paraId="071D7153" w14:textId="77777777" w:rsidTr="00661DE4">
        <w:tc>
          <w:tcPr>
            <w:tcW w:w="2263" w:type="dxa"/>
            <w:tcBorders>
              <w:bottom w:val="nil"/>
            </w:tcBorders>
            <w:noWrap/>
            <w:hideMark/>
          </w:tcPr>
          <w:p w14:paraId="713D97A2" w14:textId="77777777" w:rsidR="00661DE4" w:rsidRPr="00454082" w:rsidRDefault="00661DE4" w:rsidP="00661DE4">
            <w:pPr>
              <w:rPr>
                <w:sz w:val="16"/>
                <w:szCs w:val="16"/>
              </w:rPr>
            </w:pPr>
          </w:p>
        </w:tc>
        <w:tc>
          <w:tcPr>
            <w:tcW w:w="4962" w:type="dxa"/>
            <w:gridSpan w:val="5"/>
            <w:tcBorders>
              <w:bottom w:val="nil"/>
            </w:tcBorders>
            <w:noWrap/>
            <w:hideMark/>
          </w:tcPr>
          <w:p w14:paraId="62EF0847" w14:textId="77777777" w:rsidR="00661DE4" w:rsidRPr="00454082" w:rsidRDefault="00661DE4" w:rsidP="00661DE4">
            <w:pPr>
              <w:rPr>
                <w:b/>
                <w:sz w:val="16"/>
                <w:szCs w:val="16"/>
              </w:rPr>
            </w:pPr>
            <w:r w:rsidRPr="00454082">
              <w:rPr>
                <w:b/>
                <w:sz w:val="16"/>
                <w:szCs w:val="16"/>
              </w:rPr>
              <w:t>Percentage of total community benefits claimed in Class B</w:t>
            </w:r>
          </w:p>
        </w:tc>
      </w:tr>
      <w:tr w:rsidR="00661DE4" w:rsidRPr="00454082" w14:paraId="0243F8B5" w14:textId="77777777" w:rsidTr="00661DE4">
        <w:tc>
          <w:tcPr>
            <w:tcW w:w="2263" w:type="dxa"/>
            <w:tcBorders>
              <w:top w:val="nil"/>
              <w:bottom w:val="single" w:sz="4" w:space="0" w:color="auto"/>
            </w:tcBorders>
            <w:noWrap/>
            <w:hideMark/>
          </w:tcPr>
          <w:p w14:paraId="0F91355A" w14:textId="77777777" w:rsidR="00661DE4" w:rsidRPr="00454082" w:rsidRDefault="00661DE4" w:rsidP="00661DE4">
            <w:pPr>
              <w:rPr>
                <w:i/>
                <w:sz w:val="16"/>
                <w:szCs w:val="16"/>
              </w:rPr>
            </w:pPr>
          </w:p>
        </w:tc>
        <w:tc>
          <w:tcPr>
            <w:tcW w:w="851" w:type="dxa"/>
            <w:tcBorders>
              <w:top w:val="nil"/>
              <w:bottom w:val="single" w:sz="4" w:space="0" w:color="auto"/>
            </w:tcBorders>
            <w:noWrap/>
            <w:hideMark/>
          </w:tcPr>
          <w:p w14:paraId="50B87A03" w14:textId="77777777" w:rsidR="00661DE4" w:rsidRPr="00454082" w:rsidRDefault="00661DE4" w:rsidP="00661DE4">
            <w:pPr>
              <w:rPr>
                <w:i/>
                <w:sz w:val="16"/>
                <w:szCs w:val="16"/>
              </w:rPr>
            </w:pPr>
            <w:r w:rsidRPr="00454082">
              <w:rPr>
                <w:i/>
                <w:sz w:val="16"/>
                <w:szCs w:val="16"/>
              </w:rPr>
              <w:t>Wages</w:t>
            </w:r>
          </w:p>
        </w:tc>
        <w:tc>
          <w:tcPr>
            <w:tcW w:w="1134" w:type="dxa"/>
            <w:tcBorders>
              <w:top w:val="nil"/>
              <w:bottom w:val="single" w:sz="4" w:space="0" w:color="auto"/>
            </w:tcBorders>
            <w:noWrap/>
            <w:hideMark/>
          </w:tcPr>
          <w:p w14:paraId="502DA765" w14:textId="77777777" w:rsidR="00661DE4" w:rsidRPr="00454082" w:rsidRDefault="00661DE4" w:rsidP="00661DE4">
            <w:pPr>
              <w:rPr>
                <w:i/>
                <w:sz w:val="16"/>
                <w:szCs w:val="16"/>
              </w:rPr>
            </w:pPr>
            <w:r w:rsidRPr="00454082">
              <w:rPr>
                <w:i/>
                <w:sz w:val="16"/>
                <w:szCs w:val="16"/>
              </w:rPr>
              <w:t>Rates &amp; Taxes</w:t>
            </w:r>
          </w:p>
        </w:tc>
        <w:tc>
          <w:tcPr>
            <w:tcW w:w="1276" w:type="dxa"/>
            <w:tcBorders>
              <w:top w:val="nil"/>
              <w:bottom w:val="single" w:sz="4" w:space="0" w:color="auto"/>
            </w:tcBorders>
            <w:noWrap/>
            <w:hideMark/>
          </w:tcPr>
          <w:p w14:paraId="027BB386" w14:textId="77777777" w:rsidR="00661DE4" w:rsidRPr="00454082" w:rsidRDefault="00661DE4" w:rsidP="00661DE4">
            <w:pPr>
              <w:rPr>
                <w:i/>
                <w:sz w:val="16"/>
                <w:szCs w:val="16"/>
              </w:rPr>
            </w:pPr>
            <w:r w:rsidRPr="00454082">
              <w:rPr>
                <w:i/>
                <w:sz w:val="16"/>
                <w:szCs w:val="16"/>
              </w:rPr>
              <w:t>Lease Payment</w:t>
            </w:r>
          </w:p>
        </w:tc>
        <w:tc>
          <w:tcPr>
            <w:tcW w:w="708" w:type="dxa"/>
            <w:tcBorders>
              <w:top w:val="nil"/>
              <w:bottom w:val="single" w:sz="4" w:space="0" w:color="auto"/>
            </w:tcBorders>
            <w:noWrap/>
            <w:hideMark/>
          </w:tcPr>
          <w:p w14:paraId="5EA2C962" w14:textId="77777777" w:rsidR="00661DE4" w:rsidRPr="00454082" w:rsidRDefault="00661DE4" w:rsidP="00661DE4">
            <w:pPr>
              <w:rPr>
                <w:i/>
                <w:sz w:val="16"/>
                <w:szCs w:val="16"/>
              </w:rPr>
            </w:pPr>
            <w:r w:rsidRPr="00454082">
              <w:rPr>
                <w:i/>
                <w:sz w:val="16"/>
                <w:szCs w:val="16"/>
              </w:rPr>
              <w:t>Capital</w:t>
            </w:r>
          </w:p>
        </w:tc>
        <w:tc>
          <w:tcPr>
            <w:tcW w:w="993" w:type="dxa"/>
            <w:tcBorders>
              <w:top w:val="nil"/>
              <w:bottom w:val="single" w:sz="4" w:space="0" w:color="auto"/>
            </w:tcBorders>
            <w:noWrap/>
            <w:hideMark/>
          </w:tcPr>
          <w:p w14:paraId="2614AD2A" w14:textId="77777777" w:rsidR="00661DE4" w:rsidRPr="00454082" w:rsidRDefault="00661DE4" w:rsidP="00661DE4">
            <w:pPr>
              <w:rPr>
                <w:i/>
                <w:sz w:val="16"/>
                <w:szCs w:val="16"/>
              </w:rPr>
            </w:pPr>
            <w:r w:rsidRPr="00454082">
              <w:rPr>
                <w:i/>
                <w:sz w:val="16"/>
                <w:szCs w:val="16"/>
              </w:rPr>
              <w:t>Other Costs</w:t>
            </w:r>
          </w:p>
        </w:tc>
      </w:tr>
      <w:tr w:rsidR="00661DE4" w:rsidRPr="00454082" w14:paraId="16D6A748" w14:textId="77777777" w:rsidTr="00661DE4">
        <w:tc>
          <w:tcPr>
            <w:tcW w:w="2263" w:type="dxa"/>
            <w:tcBorders>
              <w:top w:val="single" w:sz="4" w:space="0" w:color="auto"/>
            </w:tcBorders>
            <w:noWrap/>
            <w:hideMark/>
          </w:tcPr>
          <w:p w14:paraId="04A8E012" w14:textId="77777777" w:rsidR="00661DE4" w:rsidRPr="00454082" w:rsidRDefault="00661DE4" w:rsidP="00661DE4">
            <w:pPr>
              <w:rPr>
                <w:sz w:val="16"/>
                <w:szCs w:val="16"/>
              </w:rPr>
            </w:pPr>
            <w:r w:rsidRPr="00454082">
              <w:rPr>
                <w:sz w:val="16"/>
                <w:szCs w:val="16"/>
                <w:lang w:val="en-US"/>
              </w:rPr>
              <w:t>Hoppers Crossing Club</w:t>
            </w:r>
          </w:p>
        </w:tc>
        <w:tc>
          <w:tcPr>
            <w:tcW w:w="851" w:type="dxa"/>
            <w:tcBorders>
              <w:top w:val="single" w:sz="4" w:space="0" w:color="auto"/>
            </w:tcBorders>
            <w:noWrap/>
            <w:hideMark/>
          </w:tcPr>
          <w:p w14:paraId="5DA8BB60" w14:textId="77777777" w:rsidR="00661DE4" w:rsidRPr="00454082" w:rsidRDefault="00661DE4" w:rsidP="00661DE4">
            <w:pPr>
              <w:rPr>
                <w:sz w:val="16"/>
                <w:szCs w:val="16"/>
              </w:rPr>
            </w:pPr>
            <w:r w:rsidRPr="00454082">
              <w:rPr>
                <w:sz w:val="16"/>
                <w:szCs w:val="16"/>
              </w:rPr>
              <w:t>72.90%</w:t>
            </w:r>
          </w:p>
        </w:tc>
        <w:tc>
          <w:tcPr>
            <w:tcW w:w="1134" w:type="dxa"/>
            <w:tcBorders>
              <w:top w:val="single" w:sz="4" w:space="0" w:color="auto"/>
            </w:tcBorders>
            <w:noWrap/>
            <w:hideMark/>
          </w:tcPr>
          <w:p w14:paraId="2D29427C" w14:textId="77777777" w:rsidR="00661DE4" w:rsidRPr="00454082" w:rsidRDefault="00661DE4" w:rsidP="00661DE4">
            <w:pPr>
              <w:rPr>
                <w:sz w:val="16"/>
                <w:szCs w:val="16"/>
              </w:rPr>
            </w:pPr>
            <w:r w:rsidRPr="00454082">
              <w:rPr>
                <w:sz w:val="16"/>
                <w:szCs w:val="16"/>
              </w:rPr>
              <w:t>1.40%</w:t>
            </w:r>
          </w:p>
        </w:tc>
        <w:tc>
          <w:tcPr>
            <w:tcW w:w="1276" w:type="dxa"/>
            <w:tcBorders>
              <w:top w:val="single" w:sz="4" w:space="0" w:color="auto"/>
            </w:tcBorders>
            <w:noWrap/>
            <w:hideMark/>
          </w:tcPr>
          <w:p w14:paraId="22E859D4" w14:textId="77777777" w:rsidR="00661DE4" w:rsidRPr="00454082" w:rsidRDefault="00661DE4" w:rsidP="00661DE4">
            <w:pPr>
              <w:rPr>
                <w:sz w:val="16"/>
                <w:szCs w:val="16"/>
              </w:rPr>
            </w:pPr>
            <w:r w:rsidRPr="00454082">
              <w:rPr>
                <w:sz w:val="16"/>
                <w:szCs w:val="16"/>
              </w:rPr>
              <w:t>0.00%</w:t>
            </w:r>
          </w:p>
        </w:tc>
        <w:tc>
          <w:tcPr>
            <w:tcW w:w="708" w:type="dxa"/>
            <w:tcBorders>
              <w:top w:val="single" w:sz="4" w:space="0" w:color="auto"/>
            </w:tcBorders>
            <w:noWrap/>
            <w:hideMark/>
          </w:tcPr>
          <w:p w14:paraId="46CAD822" w14:textId="77777777" w:rsidR="00661DE4" w:rsidRPr="00454082" w:rsidRDefault="00661DE4" w:rsidP="00661DE4">
            <w:pPr>
              <w:rPr>
                <w:sz w:val="16"/>
                <w:szCs w:val="16"/>
              </w:rPr>
            </w:pPr>
            <w:r w:rsidRPr="00454082">
              <w:rPr>
                <w:sz w:val="16"/>
                <w:szCs w:val="16"/>
              </w:rPr>
              <w:t>0.00%</w:t>
            </w:r>
          </w:p>
        </w:tc>
        <w:tc>
          <w:tcPr>
            <w:tcW w:w="993" w:type="dxa"/>
            <w:tcBorders>
              <w:top w:val="single" w:sz="4" w:space="0" w:color="auto"/>
            </w:tcBorders>
            <w:noWrap/>
            <w:hideMark/>
          </w:tcPr>
          <w:p w14:paraId="6ED25A14" w14:textId="77777777" w:rsidR="00661DE4" w:rsidRPr="00454082" w:rsidRDefault="00661DE4" w:rsidP="00661DE4">
            <w:pPr>
              <w:rPr>
                <w:sz w:val="16"/>
                <w:szCs w:val="16"/>
              </w:rPr>
            </w:pPr>
            <w:r w:rsidRPr="00454082">
              <w:rPr>
                <w:sz w:val="16"/>
                <w:szCs w:val="16"/>
              </w:rPr>
              <w:t>25.60%</w:t>
            </w:r>
          </w:p>
        </w:tc>
      </w:tr>
      <w:tr w:rsidR="00661DE4" w:rsidRPr="00454082" w14:paraId="0C5DF711" w14:textId="77777777" w:rsidTr="00661DE4">
        <w:tc>
          <w:tcPr>
            <w:tcW w:w="2263" w:type="dxa"/>
            <w:noWrap/>
            <w:hideMark/>
          </w:tcPr>
          <w:p w14:paraId="43DC2BEE" w14:textId="77777777" w:rsidR="00661DE4" w:rsidRPr="00454082" w:rsidRDefault="00661DE4" w:rsidP="00661DE4">
            <w:pPr>
              <w:rPr>
                <w:sz w:val="16"/>
                <w:szCs w:val="16"/>
              </w:rPr>
            </w:pPr>
            <w:r w:rsidRPr="00454082">
              <w:rPr>
                <w:sz w:val="16"/>
                <w:szCs w:val="16"/>
                <w:lang w:val="en-US"/>
              </w:rPr>
              <w:t>Hoppers Crossing Sports Club</w:t>
            </w:r>
          </w:p>
        </w:tc>
        <w:tc>
          <w:tcPr>
            <w:tcW w:w="851" w:type="dxa"/>
            <w:noWrap/>
            <w:hideMark/>
          </w:tcPr>
          <w:p w14:paraId="708E1AD5" w14:textId="77777777" w:rsidR="00661DE4" w:rsidRPr="00454082" w:rsidRDefault="00661DE4" w:rsidP="00661DE4">
            <w:pPr>
              <w:rPr>
                <w:sz w:val="16"/>
                <w:szCs w:val="16"/>
              </w:rPr>
            </w:pPr>
            <w:r w:rsidRPr="00454082">
              <w:rPr>
                <w:sz w:val="16"/>
                <w:szCs w:val="16"/>
              </w:rPr>
              <w:t>55.90%</w:t>
            </w:r>
          </w:p>
        </w:tc>
        <w:tc>
          <w:tcPr>
            <w:tcW w:w="1134" w:type="dxa"/>
            <w:noWrap/>
            <w:hideMark/>
          </w:tcPr>
          <w:p w14:paraId="16A84143" w14:textId="77777777" w:rsidR="00661DE4" w:rsidRPr="00454082" w:rsidRDefault="00661DE4" w:rsidP="00661DE4">
            <w:pPr>
              <w:rPr>
                <w:sz w:val="16"/>
                <w:szCs w:val="16"/>
              </w:rPr>
            </w:pPr>
            <w:r w:rsidRPr="00454082">
              <w:rPr>
                <w:sz w:val="16"/>
                <w:szCs w:val="16"/>
              </w:rPr>
              <w:t>0.00%</w:t>
            </w:r>
          </w:p>
        </w:tc>
        <w:tc>
          <w:tcPr>
            <w:tcW w:w="1276" w:type="dxa"/>
            <w:noWrap/>
            <w:hideMark/>
          </w:tcPr>
          <w:p w14:paraId="4FDC5FC3" w14:textId="77777777" w:rsidR="00661DE4" w:rsidRPr="00454082" w:rsidRDefault="00661DE4" w:rsidP="00661DE4">
            <w:pPr>
              <w:rPr>
                <w:sz w:val="16"/>
                <w:szCs w:val="16"/>
              </w:rPr>
            </w:pPr>
            <w:r w:rsidRPr="00454082">
              <w:rPr>
                <w:sz w:val="16"/>
                <w:szCs w:val="16"/>
              </w:rPr>
              <w:t>0.00%</w:t>
            </w:r>
          </w:p>
        </w:tc>
        <w:tc>
          <w:tcPr>
            <w:tcW w:w="708" w:type="dxa"/>
            <w:noWrap/>
            <w:hideMark/>
          </w:tcPr>
          <w:p w14:paraId="54528D10" w14:textId="77777777" w:rsidR="00661DE4" w:rsidRPr="00454082" w:rsidRDefault="00661DE4" w:rsidP="00661DE4">
            <w:pPr>
              <w:rPr>
                <w:sz w:val="16"/>
                <w:szCs w:val="16"/>
              </w:rPr>
            </w:pPr>
            <w:r w:rsidRPr="00454082">
              <w:rPr>
                <w:sz w:val="16"/>
                <w:szCs w:val="16"/>
              </w:rPr>
              <w:t>0.00%</w:t>
            </w:r>
          </w:p>
        </w:tc>
        <w:tc>
          <w:tcPr>
            <w:tcW w:w="993" w:type="dxa"/>
            <w:noWrap/>
            <w:hideMark/>
          </w:tcPr>
          <w:p w14:paraId="7DFA74C0" w14:textId="77777777" w:rsidR="00661DE4" w:rsidRPr="00454082" w:rsidRDefault="00661DE4" w:rsidP="00661DE4">
            <w:pPr>
              <w:rPr>
                <w:sz w:val="16"/>
                <w:szCs w:val="16"/>
              </w:rPr>
            </w:pPr>
            <w:r w:rsidRPr="00454082">
              <w:rPr>
                <w:sz w:val="16"/>
                <w:szCs w:val="16"/>
              </w:rPr>
              <w:t>44.10%</w:t>
            </w:r>
          </w:p>
        </w:tc>
      </w:tr>
      <w:tr w:rsidR="00661DE4" w:rsidRPr="00454082" w14:paraId="2CB76046" w14:textId="77777777" w:rsidTr="00661DE4">
        <w:tc>
          <w:tcPr>
            <w:tcW w:w="2263" w:type="dxa"/>
            <w:noWrap/>
            <w:hideMark/>
          </w:tcPr>
          <w:p w14:paraId="0BDC10D5" w14:textId="77777777" w:rsidR="00661DE4" w:rsidRPr="00454082" w:rsidRDefault="00661DE4" w:rsidP="00661DE4">
            <w:pPr>
              <w:rPr>
                <w:sz w:val="16"/>
                <w:szCs w:val="16"/>
              </w:rPr>
            </w:pPr>
            <w:r w:rsidRPr="00454082">
              <w:rPr>
                <w:sz w:val="16"/>
                <w:szCs w:val="16"/>
                <w:lang w:val="en-US"/>
              </w:rPr>
              <w:t>Italian Sports Club Werribee</w:t>
            </w:r>
          </w:p>
        </w:tc>
        <w:tc>
          <w:tcPr>
            <w:tcW w:w="851" w:type="dxa"/>
            <w:noWrap/>
            <w:hideMark/>
          </w:tcPr>
          <w:p w14:paraId="147E8410" w14:textId="77777777" w:rsidR="00661DE4" w:rsidRPr="00454082" w:rsidRDefault="00661DE4" w:rsidP="00661DE4">
            <w:pPr>
              <w:rPr>
                <w:sz w:val="16"/>
                <w:szCs w:val="16"/>
              </w:rPr>
            </w:pPr>
            <w:r w:rsidRPr="00454082">
              <w:rPr>
                <w:sz w:val="16"/>
                <w:szCs w:val="16"/>
              </w:rPr>
              <w:t>80.00%</w:t>
            </w:r>
          </w:p>
        </w:tc>
        <w:tc>
          <w:tcPr>
            <w:tcW w:w="1134" w:type="dxa"/>
            <w:noWrap/>
            <w:hideMark/>
          </w:tcPr>
          <w:p w14:paraId="549D14A1" w14:textId="77777777" w:rsidR="00661DE4" w:rsidRPr="00454082" w:rsidRDefault="00661DE4" w:rsidP="00661DE4">
            <w:pPr>
              <w:rPr>
                <w:sz w:val="16"/>
                <w:szCs w:val="16"/>
              </w:rPr>
            </w:pPr>
            <w:r w:rsidRPr="00454082">
              <w:rPr>
                <w:sz w:val="16"/>
                <w:szCs w:val="16"/>
              </w:rPr>
              <w:t>0.30%</w:t>
            </w:r>
          </w:p>
        </w:tc>
        <w:tc>
          <w:tcPr>
            <w:tcW w:w="1276" w:type="dxa"/>
            <w:noWrap/>
            <w:hideMark/>
          </w:tcPr>
          <w:p w14:paraId="292D54E2" w14:textId="77777777" w:rsidR="00661DE4" w:rsidRPr="00454082" w:rsidRDefault="00661DE4" w:rsidP="00661DE4">
            <w:pPr>
              <w:rPr>
                <w:sz w:val="16"/>
                <w:szCs w:val="16"/>
              </w:rPr>
            </w:pPr>
            <w:r w:rsidRPr="00454082">
              <w:rPr>
                <w:sz w:val="16"/>
                <w:szCs w:val="16"/>
              </w:rPr>
              <w:t>0.00%</w:t>
            </w:r>
          </w:p>
        </w:tc>
        <w:tc>
          <w:tcPr>
            <w:tcW w:w="708" w:type="dxa"/>
            <w:noWrap/>
            <w:hideMark/>
          </w:tcPr>
          <w:p w14:paraId="4B1E2743" w14:textId="77777777" w:rsidR="00661DE4" w:rsidRPr="00454082" w:rsidRDefault="00661DE4" w:rsidP="00661DE4">
            <w:pPr>
              <w:rPr>
                <w:sz w:val="16"/>
                <w:szCs w:val="16"/>
              </w:rPr>
            </w:pPr>
            <w:r w:rsidRPr="00454082">
              <w:rPr>
                <w:sz w:val="16"/>
                <w:szCs w:val="16"/>
              </w:rPr>
              <w:t>1.00%</w:t>
            </w:r>
          </w:p>
        </w:tc>
        <w:tc>
          <w:tcPr>
            <w:tcW w:w="993" w:type="dxa"/>
            <w:noWrap/>
            <w:hideMark/>
          </w:tcPr>
          <w:p w14:paraId="5ED501EA" w14:textId="77777777" w:rsidR="00661DE4" w:rsidRPr="00454082" w:rsidRDefault="00661DE4" w:rsidP="00661DE4">
            <w:pPr>
              <w:rPr>
                <w:sz w:val="16"/>
                <w:szCs w:val="16"/>
              </w:rPr>
            </w:pPr>
            <w:r w:rsidRPr="00454082">
              <w:rPr>
                <w:sz w:val="16"/>
                <w:szCs w:val="16"/>
              </w:rPr>
              <w:t>18.70%</w:t>
            </w:r>
          </w:p>
        </w:tc>
      </w:tr>
      <w:tr w:rsidR="00661DE4" w:rsidRPr="00454082" w14:paraId="45E1A807" w14:textId="77777777" w:rsidTr="00661DE4">
        <w:tc>
          <w:tcPr>
            <w:tcW w:w="2263" w:type="dxa"/>
            <w:noWrap/>
            <w:hideMark/>
          </w:tcPr>
          <w:p w14:paraId="11F53759" w14:textId="77777777" w:rsidR="00661DE4" w:rsidRPr="00454082" w:rsidRDefault="00661DE4" w:rsidP="00661DE4">
            <w:pPr>
              <w:rPr>
                <w:sz w:val="16"/>
                <w:szCs w:val="16"/>
              </w:rPr>
            </w:pPr>
            <w:r w:rsidRPr="00454082">
              <w:rPr>
                <w:sz w:val="16"/>
                <w:szCs w:val="16"/>
                <w:lang w:val="en-US"/>
              </w:rPr>
              <w:t>The Brook on Sneydes</w:t>
            </w:r>
          </w:p>
        </w:tc>
        <w:tc>
          <w:tcPr>
            <w:tcW w:w="851" w:type="dxa"/>
            <w:noWrap/>
            <w:hideMark/>
          </w:tcPr>
          <w:p w14:paraId="0759039D" w14:textId="77777777" w:rsidR="00661DE4" w:rsidRPr="00454082" w:rsidRDefault="00661DE4" w:rsidP="00661DE4">
            <w:pPr>
              <w:rPr>
                <w:sz w:val="16"/>
                <w:szCs w:val="16"/>
              </w:rPr>
            </w:pPr>
            <w:r w:rsidRPr="00454082">
              <w:rPr>
                <w:sz w:val="16"/>
                <w:szCs w:val="16"/>
              </w:rPr>
              <w:t>66.20%</w:t>
            </w:r>
          </w:p>
        </w:tc>
        <w:tc>
          <w:tcPr>
            <w:tcW w:w="1134" w:type="dxa"/>
            <w:noWrap/>
            <w:hideMark/>
          </w:tcPr>
          <w:p w14:paraId="7CEC4CF0" w14:textId="77777777" w:rsidR="00661DE4" w:rsidRPr="00454082" w:rsidRDefault="00661DE4" w:rsidP="00661DE4">
            <w:pPr>
              <w:rPr>
                <w:sz w:val="16"/>
                <w:szCs w:val="16"/>
              </w:rPr>
            </w:pPr>
            <w:r w:rsidRPr="00454082">
              <w:rPr>
                <w:sz w:val="16"/>
                <w:szCs w:val="16"/>
              </w:rPr>
              <w:t>1.80%</w:t>
            </w:r>
          </w:p>
        </w:tc>
        <w:tc>
          <w:tcPr>
            <w:tcW w:w="1276" w:type="dxa"/>
            <w:noWrap/>
            <w:hideMark/>
          </w:tcPr>
          <w:p w14:paraId="10508827" w14:textId="77777777" w:rsidR="00661DE4" w:rsidRPr="00454082" w:rsidRDefault="00661DE4" w:rsidP="00661DE4">
            <w:pPr>
              <w:rPr>
                <w:sz w:val="16"/>
                <w:szCs w:val="16"/>
              </w:rPr>
            </w:pPr>
            <w:r w:rsidRPr="00454082">
              <w:rPr>
                <w:sz w:val="16"/>
                <w:szCs w:val="16"/>
              </w:rPr>
              <w:t>29.80%</w:t>
            </w:r>
          </w:p>
        </w:tc>
        <w:tc>
          <w:tcPr>
            <w:tcW w:w="708" w:type="dxa"/>
            <w:noWrap/>
            <w:hideMark/>
          </w:tcPr>
          <w:p w14:paraId="7C840878" w14:textId="77777777" w:rsidR="00661DE4" w:rsidRPr="00454082" w:rsidRDefault="00661DE4" w:rsidP="00661DE4">
            <w:pPr>
              <w:rPr>
                <w:sz w:val="16"/>
                <w:szCs w:val="16"/>
              </w:rPr>
            </w:pPr>
            <w:r w:rsidRPr="00454082">
              <w:rPr>
                <w:sz w:val="16"/>
                <w:szCs w:val="16"/>
              </w:rPr>
              <w:t>2.20%</w:t>
            </w:r>
          </w:p>
        </w:tc>
        <w:tc>
          <w:tcPr>
            <w:tcW w:w="993" w:type="dxa"/>
            <w:noWrap/>
            <w:hideMark/>
          </w:tcPr>
          <w:p w14:paraId="7045EEA8" w14:textId="77777777" w:rsidR="00661DE4" w:rsidRPr="00454082" w:rsidRDefault="00661DE4" w:rsidP="00661DE4">
            <w:pPr>
              <w:rPr>
                <w:sz w:val="16"/>
                <w:szCs w:val="16"/>
              </w:rPr>
            </w:pPr>
            <w:r w:rsidRPr="00454082">
              <w:rPr>
                <w:sz w:val="16"/>
                <w:szCs w:val="16"/>
              </w:rPr>
              <w:t>0.00%</w:t>
            </w:r>
          </w:p>
        </w:tc>
      </w:tr>
      <w:tr w:rsidR="00661DE4" w:rsidRPr="00454082" w14:paraId="3D13BF4D" w14:textId="77777777" w:rsidTr="00661DE4">
        <w:tc>
          <w:tcPr>
            <w:tcW w:w="2263" w:type="dxa"/>
            <w:noWrap/>
            <w:hideMark/>
          </w:tcPr>
          <w:p w14:paraId="7CF7FE43" w14:textId="77777777" w:rsidR="00661DE4" w:rsidRPr="00454082" w:rsidRDefault="00661DE4" w:rsidP="00661DE4">
            <w:pPr>
              <w:rPr>
                <w:sz w:val="16"/>
                <w:szCs w:val="16"/>
              </w:rPr>
            </w:pPr>
            <w:r w:rsidRPr="00454082">
              <w:rPr>
                <w:sz w:val="16"/>
                <w:szCs w:val="16"/>
                <w:lang w:val="en-US"/>
              </w:rPr>
              <w:t>The Tigers Clubhouse</w:t>
            </w:r>
          </w:p>
        </w:tc>
        <w:tc>
          <w:tcPr>
            <w:tcW w:w="851" w:type="dxa"/>
            <w:noWrap/>
            <w:hideMark/>
          </w:tcPr>
          <w:p w14:paraId="50E25BDB" w14:textId="77777777" w:rsidR="00661DE4" w:rsidRPr="00454082" w:rsidRDefault="00661DE4" w:rsidP="00661DE4">
            <w:pPr>
              <w:rPr>
                <w:sz w:val="16"/>
                <w:szCs w:val="16"/>
              </w:rPr>
            </w:pPr>
            <w:r w:rsidRPr="00454082">
              <w:rPr>
                <w:sz w:val="16"/>
                <w:szCs w:val="16"/>
              </w:rPr>
              <w:t>68.20%</w:t>
            </w:r>
          </w:p>
        </w:tc>
        <w:tc>
          <w:tcPr>
            <w:tcW w:w="1134" w:type="dxa"/>
            <w:noWrap/>
            <w:hideMark/>
          </w:tcPr>
          <w:p w14:paraId="16EAC2CB" w14:textId="77777777" w:rsidR="00661DE4" w:rsidRPr="00454082" w:rsidRDefault="00661DE4" w:rsidP="00661DE4">
            <w:pPr>
              <w:rPr>
                <w:sz w:val="16"/>
                <w:szCs w:val="16"/>
              </w:rPr>
            </w:pPr>
            <w:r w:rsidRPr="00454082">
              <w:rPr>
                <w:sz w:val="16"/>
                <w:szCs w:val="16"/>
              </w:rPr>
              <w:t>0.00%</w:t>
            </w:r>
          </w:p>
        </w:tc>
        <w:tc>
          <w:tcPr>
            <w:tcW w:w="1276" w:type="dxa"/>
            <w:noWrap/>
            <w:hideMark/>
          </w:tcPr>
          <w:p w14:paraId="473F9E3E" w14:textId="77777777" w:rsidR="00661DE4" w:rsidRPr="00454082" w:rsidRDefault="00661DE4" w:rsidP="00661DE4">
            <w:pPr>
              <w:rPr>
                <w:sz w:val="16"/>
                <w:szCs w:val="16"/>
              </w:rPr>
            </w:pPr>
            <w:r w:rsidRPr="00454082">
              <w:rPr>
                <w:sz w:val="16"/>
                <w:szCs w:val="16"/>
              </w:rPr>
              <w:t>24.20%</w:t>
            </w:r>
          </w:p>
        </w:tc>
        <w:tc>
          <w:tcPr>
            <w:tcW w:w="708" w:type="dxa"/>
            <w:noWrap/>
            <w:hideMark/>
          </w:tcPr>
          <w:p w14:paraId="6EA688B6" w14:textId="77777777" w:rsidR="00661DE4" w:rsidRPr="00454082" w:rsidRDefault="00661DE4" w:rsidP="00661DE4">
            <w:pPr>
              <w:rPr>
                <w:sz w:val="16"/>
                <w:szCs w:val="16"/>
              </w:rPr>
            </w:pPr>
            <w:r w:rsidRPr="00454082">
              <w:rPr>
                <w:sz w:val="16"/>
                <w:szCs w:val="16"/>
              </w:rPr>
              <w:t>0.00%</w:t>
            </w:r>
          </w:p>
        </w:tc>
        <w:tc>
          <w:tcPr>
            <w:tcW w:w="993" w:type="dxa"/>
            <w:noWrap/>
            <w:hideMark/>
          </w:tcPr>
          <w:p w14:paraId="05D7A64E" w14:textId="77777777" w:rsidR="00661DE4" w:rsidRPr="00454082" w:rsidRDefault="00661DE4" w:rsidP="00661DE4">
            <w:pPr>
              <w:rPr>
                <w:sz w:val="16"/>
                <w:szCs w:val="16"/>
              </w:rPr>
            </w:pPr>
            <w:r w:rsidRPr="00454082">
              <w:rPr>
                <w:sz w:val="16"/>
                <w:szCs w:val="16"/>
              </w:rPr>
              <w:t>7.50%</w:t>
            </w:r>
          </w:p>
        </w:tc>
      </w:tr>
    </w:tbl>
    <w:p w14:paraId="399EB2F5" w14:textId="77777777" w:rsidR="00661DE4" w:rsidRDefault="00661DE4" w:rsidP="00661DE4">
      <w:pPr>
        <w:keepNext/>
        <w:spacing w:line="240" w:lineRule="auto"/>
        <w:rPr>
          <w:rFonts w:eastAsiaTheme="minorEastAsia"/>
          <w:b/>
          <w:bCs/>
          <w:sz w:val="24"/>
          <w:szCs w:val="18"/>
          <w:lang w:eastAsia="en-AU"/>
        </w:rPr>
      </w:pPr>
    </w:p>
    <w:p w14:paraId="18442D82" w14:textId="77777777" w:rsidR="00661DE4" w:rsidRPr="00EF66B8" w:rsidRDefault="00661DE4" w:rsidP="00661DE4">
      <w:pPr>
        <w:pStyle w:val="Heading1"/>
        <w:rPr>
          <w:b/>
          <w:color w:val="7030A0"/>
        </w:rPr>
      </w:pPr>
      <w:r w:rsidRPr="00EF66B8">
        <w:rPr>
          <w:b/>
          <w:color w:val="7030A0"/>
        </w:rPr>
        <w:t>Online Gambling</w:t>
      </w:r>
    </w:p>
    <w:p w14:paraId="0A92992A" w14:textId="77777777" w:rsidR="00661DE4" w:rsidRPr="00894F6F" w:rsidRDefault="00661DE4" w:rsidP="00661DE4">
      <w:r w:rsidRPr="00894F6F">
        <w:t xml:space="preserve">New developments in digital technologies have resulted in changes to how and where people gamble. Online gambling or internet gambling is essentially any gambling that occurs via the internet whether that is via a computer, mobile phone or other devices. </w:t>
      </w:r>
    </w:p>
    <w:p w14:paraId="350A97EE" w14:textId="77777777" w:rsidR="00661DE4" w:rsidRPr="00894F6F" w:rsidRDefault="00661DE4" w:rsidP="00661DE4">
      <w:r w:rsidRPr="00894F6F">
        <w:t xml:space="preserve">Online gambling is regulated by the Commonwealth Government through the Interactive Gambling Act 2001 (IGA). The IGA targets the providers of interactive gambling services. It is an offence to provide interactive gambling service to Australian customers. However, (the Act) does not prohibit </w:t>
      </w:r>
      <w:r w:rsidRPr="00894F6F">
        <w:lastRenderedPageBreak/>
        <w:t>access to online services, this means access to online gambling can be provided by overseas companies.</w:t>
      </w:r>
    </w:p>
    <w:p w14:paraId="72735DB9" w14:textId="77777777" w:rsidR="00661DE4" w:rsidRPr="00894F6F" w:rsidRDefault="00661DE4" w:rsidP="00661DE4">
      <w:pPr>
        <w:autoSpaceDE w:val="0"/>
        <w:autoSpaceDN w:val="0"/>
        <w:adjustRightInd w:val="0"/>
        <w:spacing w:after="0" w:line="240" w:lineRule="auto"/>
        <w:rPr>
          <w:rFonts w:ascii="Calibri" w:hAnsi="Calibri" w:cs="Calibri"/>
          <w:color w:val="000000"/>
        </w:rPr>
      </w:pPr>
      <w:r w:rsidRPr="00894F6F">
        <w:rPr>
          <w:rFonts w:ascii="Calibri" w:hAnsi="Calibri" w:cs="Calibri"/>
          <w:color w:val="000000"/>
        </w:rPr>
        <w:t xml:space="preserve">Online gambling can include the following: </w:t>
      </w:r>
    </w:p>
    <w:p w14:paraId="4EDF815C" w14:textId="77777777" w:rsidR="00661DE4" w:rsidRPr="00894F6F" w:rsidRDefault="00661DE4" w:rsidP="00661DE4">
      <w:pPr>
        <w:pStyle w:val="ListParagraph"/>
        <w:numPr>
          <w:ilvl w:val="0"/>
          <w:numId w:val="8"/>
        </w:numPr>
        <w:autoSpaceDE w:val="0"/>
        <w:autoSpaceDN w:val="0"/>
        <w:adjustRightInd w:val="0"/>
        <w:spacing w:after="0" w:line="240" w:lineRule="auto"/>
        <w:rPr>
          <w:rFonts w:ascii="Calibri" w:hAnsi="Calibri" w:cs="Calibri"/>
          <w:color w:val="000000"/>
        </w:rPr>
      </w:pPr>
      <w:r w:rsidRPr="00894F6F">
        <w:rPr>
          <w:rFonts w:ascii="Calibri" w:hAnsi="Calibri" w:cs="Calibri"/>
          <w:color w:val="000000"/>
        </w:rPr>
        <w:t xml:space="preserve">Online wagering – consisting of racing and sports betting </w:t>
      </w:r>
    </w:p>
    <w:p w14:paraId="6F7289B3" w14:textId="77777777" w:rsidR="00661DE4" w:rsidRPr="00894F6F" w:rsidRDefault="00661DE4" w:rsidP="00661DE4">
      <w:pPr>
        <w:pStyle w:val="ListParagraph"/>
        <w:numPr>
          <w:ilvl w:val="0"/>
          <w:numId w:val="8"/>
        </w:numPr>
        <w:autoSpaceDE w:val="0"/>
        <w:autoSpaceDN w:val="0"/>
        <w:adjustRightInd w:val="0"/>
        <w:spacing w:after="0" w:line="240" w:lineRule="auto"/>
        <w:rPr>
          <w:rFonts w:ascii="Calibri" w:hAnsi="Calibri" w:cs="Calibri"/>
          <w:color w:val="000000"/>
        </w:rPr>
      </w:pPr>
      <w:r w:rsidRPr="00894F6F">
        <w:rPr>
          <w:rFonts w:ascii="Calibri" w:hAnsi="Calibri" w:cs="Calibri"/>
          <w:color w:val="000000"/>
        </w:rPr>
        <w:t xml:space="preserve">Online gaming – poker, blackjack, baccarat, roulette and virtual EGMs </w:t>
      </w:r>
    </w:p>
    <w:p w14:paraId="18198BB8" w14:textId="77777777" w:rsidR="00661DE4" w:rsidRPr="00894F6F" w:rsidRDefault="00661DE4" w:rsidP="00661DE4">
      <w:pPr>
        <w:pStyle w:val="ListParagraph"/>
        <w:numPr>
          <w:ilvl w:val="0"/>
          <w:numId w:val="8"/>
        </w:numPr>
        <w:autoSpaceDE w:val="0"/>
        <w:autoSpaceDN w:val="0"/>
        <w:adjustRightInd w:val="0"/>
        <w:spacing w:after="0" w:line="240" w:lineRule="auto"/>
        <w:rPr>
          <w:rFonts w:ascii="Calibri" w:hAnsi="Calibri" w:cs="Calibri"/>
          <w:color w:val="000000"/>
        </w:rPr>
      </w:pPr>
      <w:r w:rsidRPr="00894F6F">
        <w:rPr>
          <w:rFonts w:ascii="Calibri" w:hAnsi="Calibri" w:cs="Calibri"/>
          <w:color w:val="000000"/>
        </w:rPr>
        <w:t xml:space="preserve">Lotteries – such as Tattslotto, Ozlotto and Keno. </w:t>
      </w:r>
    </w:p>
    <w:p w14:paraId="2711D6B4" w14:textId="77777777" w:rsidR="00661DE4" w:rsidRPr="00894F6F" w:rsidRDefault="00661DE4" w:rsidP="00661DE4">
      <w:pPr>
        <w:pStyle w:val="NoSpacing"/>
        <w:rPr>
          <w:lang w:val="en-AU"/>
        </w:rPr>
      </w:pPr>
    </w:p>
    <w:p w14:paraId="72668E74" w14:textId="77777777" w:rsidR="00661DE4" w:rsidRPr="00894F6F" w:rsidRDefault="00661DE4" w:rsidP="00661DE4">
      <w:pPr>
        <w:pStyle w:val="NoSpacing"/>
        <w:rPr>
          <w:lang w:val="en-AU"/>
        </w:rPr>
      </w:pPr>
      <w:r w:rsidRPr="00894F6F">
        <w:rPr>
          <w:lang w:val="en-AU"/>
        </w:rPr>
        <w:t>This increased accessibility to gambling, achieved via growth in online technologies, may explain the increasing rates of participation in online gambling. For instance:</w:t>
      </w:r>
    </w:p>
    <w:p w14:paraId="6373FAE3" w14:textId="77777777" w:rsidR="00661DE4" w:rsidRPr="00894F6F" w:rsidRDefault="00661DE4" w:rsidP="00661DE4">
      <w:pPr>
        <w:spacing w:after="0"/>
        <w:rPr>
          <w:rFonts w:ascii="Calibri" w:eastAsia="Times New Roman" w:hAnsi="Calibri" w:cs="Times New Roman"/>
        </w:rPr>
      </w:pPr>
    </w:p>
    <w:p w14:paraId="736CD551" w14:textId="77777777" w:rsidR="00661DE4" w:rsidRPr="00894F6F" w:rsidRDefault="00661DE4" w:rsidP="00661DE4">
      <w:pPr>
        <w:numPr>
          <w:ilvl w:val="0"/>
          <w:numId w:val="2"/>
        </w:numPr>
        <w:spacing w:after="0" w:line="240" w:lineRule="auto"/>
        <w:ind w:left="720"/>
        <w:rPr>
          <w:rFonts w:ascii="Calibri" w:eastAsia="Times New Roman" w:hAnsi="Calibri" w:cs="Times New Roman"/>
        </w:rPr>
      </w:pPr>
      <w:r w:rsidRPr="00894F6F">
        <w:rPr>
          <w:rFonts w:ascii="Calibri" w:eastAsia="Times New Roman" w:hAnsi="Calibri" w:cs="Times New Roman"/>
        </w:rPr>
        <w:t>The Study of Gambling and Health in Victoria showed that participation in gambling online increased from 4.2 per cent in 2008 to 10 per cent in 2011</w:t>
      </w:r>
      <w:r w:rsidRPr="00894F6F">
        <w:rPr>
          <w:rStyle w:val="FootnoteReference"/>
          <w:rFonts w:ascii="Calibri" w:eastAsia="Times New Roman" w:hAnsi="Calibri" w:cs="Times New Roman"/>
        </w:rPr>
        <w:footnoteReference w:id="14"/>
      </w:r>
    </w:p>
    <w:p w14:paraId="3140721F" w14:textId="77777777" w:rsidR="00661DE4" w:rsidRPr="00894F6F" w:rsidRDefault="00661DE4" w:rsidP="00661DE4">
      <w:pPr>
        <w:spacing w:after="0"/>
        <w:ind w:left="720"/>
        <w:rPr>
          <w:rFonts w:ascii="Calibri" w:eastAsia="Times New Roman" w:hAnsi="Calibri" w:cs="Times New Roman"/>
        </w:rPr>
      </w:pPr>
    </w:p>
    <w:p w14:paraId="1066E61B" w14:textId="77777777" w:rsidR="00661DE4" w:rsidRPr="00894F6F" w:rsidRDefault="00661DE4" w:rsidP="00661DE4">
      <w:pPr>
        <w:numPr>
          <w:ilvl w:val="0"/>
          <w:numId w:val="2"/>
        </w:numPr>
        <w:spacing w:after="0" w:line="240" w:lineRule="auto"/>
        <w:ind w:left="720"/>
        <w:rPr>
          <w:rFonts w:ascii="Calibri" w:eastAsia="Times New Roman" w:hAnsi="Calibri" w:cs="Times New Roman"/>
        </w:rPr>
      </w:pPr>
      <w:r w:rsidRPr="00894F6F">
        <w:rPr>
          <w:rFonts w:ascii="Calibri" w:eastAsia="Times New Roman" w:hAnsi="Calibri" w:cs="Times New Roman"/>
        </w:rPr>
        <w:t>Results from a national survey examining interactive gambling from 2010/11 found that 8.06% of Australians had participated in online gambling in the past year</w:t>
      </w:r>
      <w:r w:rsidRPr="00894F6F">
        <w:rPr>
          <w:rStyle w:val="FootnoteReference"/>
          <w:rFonts w:ascii="Calibri" w:eastAsia="Times New Roman" w:hAnsi="Calibri" w:cs="Times New Roman"/>
        </w:rPr>
        <w:footnoteReference w:id="15"/>
      </w:r>
    </w:p>
    <w:p w14:paraId="5696614A" w14:textId="77777777" w:rsidR="00661DE4" w:rsidRPr="00894F6F" w:rsidRDefault="00661DE4" w:rsidP="00661DE4">
      <w:pPr>
        <w:spacing w:after="0"/>
        <w:ind w:left="720"/>
        <w:rPr>
          <w:rFonts w:ascii="Calibri" w:eastAsia="Times New Roman" w:hAnsi="Calibri" w:cs="Times New Roman"/>
        </w:rPr>
      </w:pPr>
    </w:p>
    <w:p w14:paraId="621F38A9" w14:textId="77777777" w:rsidR="00661DE4" w:rsidRPr="0023507E" w:rsidRDefault="00661DE4" w:rsidP="00661DE4">
      <w:pPr>
        <w:numPr>
          <w:ilvl w:val="0"/>
          <w:numId w:val="2"/>
        </w:numPr>
        <w:spacing w:after="0" w:line="240" w:lineRule="auto"/>
        <w:ind w:left="720"/>
        <w:rPr>
          <w:rFonts w:ascii="Calibri" w:eastAsia="Times New Roman" w:hAnsi="Calibri" w:cs="Times New Roman"/>
        </w:rPr>
      </w:pPr>
      <w:r w:rsidRPr="00894F6F">
        <w:rPr>
          <w:rFonts w:ascii="Calibri" w:eastAsia="Times New Roman" w:hAnsi="Calibri" w:cs="Times New Roman"/>
        </w:rPr>
        <w:t>The Study of Gambling and Health in Victoria showed that participation in sports betting online is increasing, with 52% of sports gamblers placing bets online during the previous 12 months</w:t>
      </w:r>
      <w:r w:rsidRPr="00894F6F">
        <w:rPr>
          <w:rStyle w:val="FootnoteReference"/>
          <w:rFonts w:ascii="Calibri" w:eastAsia="Times New Roman" w:hAnsi="Calibri" w:cs="Times New Roman"/>
        </w:rPr>
        <w:footnoteReference w:id="16"/>
      </w:r>
      <w:r w:rsidRPr="00894F6F">
        <w:rPr>
          <w:rFonts w:ascii="Calibri" w:eastAsia="Times New Roman" w:hAnsi="Calibri" w:cs="Times New Roman"/>
        </w:rPr>
        <w:t>.</w:t>
      </w:r>
    </w:p>
    <w:p w14:paraId="62CD90FF" w14:textId="77777777" w:rsidR="00661DE4" w:rsidRPr="00894F6F" w:rsidRDefault="00661DE4" w:rsidP="00661DE4">
      <w:pPr>
        <w:spacing w:after="0"/>
        <w:ind w:left="720"/>
        <w:rPr>
          <w:rFonts w:ascii="Calibri" w:eastAsia="Times New Roman" w:hAnsi="Calibri" w:cs="Times New Roman"/>
        </w:rPr>
      </w:pPr>
    </w:p>
    <w:p w14:paraId="03406C2B" w14:textId="77777777" w:rsidR="00661DE4" w:rsidRPr="00894F6F" w:rsidRDefault="00661DE4" w:rsidP="00661DE4">
      <w:pPr>
        <w:spacing w:after="0"/>
        <w:rPr>
          <w:rFonts w:ascii="Calibri" w:eastAsia="Times New Roman" w:hAnsi="Calibri" w:cs="Times New Roman"/>
        </w:rPr>
      </w:pPr>
      <w:r w:rsidRPr="00894F6F">
        <w:rPr>
          <w:rFonts w:ascii="Calibri" w:eastAsia="Times New Roman" w:hAnsi="Calibri" w:cs="Times New Roman"/>
        </w:rPr>
        <w:t>While figures on the number of Australians with betting accounts are not publicly available, the following information has been obtained from wagering providers:</w:t>
      </w:r>
    </w:p>
    <w:p w14:paraId="598265D1" w14:textId="77777777" w:rsidR="00661DE4" w:rsidRPr="00894F6F" w:rsidRDefault="00661DE4" w:rsidP="00661DE4">
      <w:pPr>
        <w:pStyle w:val="ListParagraph"/>
        <w:numPr>
          <w:ilvl w:val="0"/>
          <w:numId w:val="9"/>
        </w:numPr>
        <w:spacing w:after="0" w:line="276" w:lineRule="auto"/>
        <w:rPr>
          <w:rFonts w:ascii="Calibri" w:eastAsia="Times New Roman" w:hAnsi="Calibri" w:cs="Times New Roman"/>
        </w:rPr>
      </w:pPr>
      <w:r w:rsidRPr="00894F6F">
        <w:rPr>
          <w:rFonts w:ascii="Calibri" w:eastAsia="Times New Roman" w:hAnsi="Calibri" w:cs="Times New Roman"/>
        </w:rPr>
        <w:t>William Hill –284,000 active account holders in Australia</w:t>
      </w:r>
      <w:r w:rsidRPr="00894F6F">
        <w:rPr>
          <w:rStyle w:val="FootnoteReference"/>
          <w:rFonts w:ascii="Calibri" w:eastAsia="Times New Roman" w:hAnsi="Calibri" w:cs="Times New Roman"/>
        </w:rPr>
        <w:footnoteReference w:id="17"/>
      </w:r>
    </w:p>
    <w:p w14:paraId="7A88E59B" w14:textId="77777777" w:rsidR="00661DE4" w:rsidRPr="00894F6F" w:rsidRDefault="00661DE4" w:rsidP="00661DE4">
      <w:pPr>
        <w:pStyle w:val="ListParagraph"/>
        <w:numPr>
          <w:ilvl w:val="0"/>
          <w:numId w:val="9"/>
        </w:numPr>
        <w:spacing w:after="0" w:line="276" w:lineRule="auto"/>
        <w:rPr>
          <w:rFonts w:ascii="Times New Roman" w:hAnsi="Times New Roman" w:cs="Times New Roman"/>
          <w:sz w:val="24"/>
          <w:szCs w:val="24"/>
          <w:lang w:eastAsia="en-AU"/>
        </w:rPr>
      </w:pPr>
      <w:r w:rsidRPr="00894F6F">
        <w:rPr>
          <w:rFonts w:ascii="Calibri" w:eastAsia="Times New Roman" w:hAnsi="Calibri" w:cs="Times New Roman"/>
        </w:rPr>
        <w:t>Tabcorp – increase of 12% in number of active account holders in 2014/15</w:t>
      </w:r>
      <w:r w:rsidRPr="00894F6F">
        <w:rPr>
          <w:rStyle w:val="FootnoteReference"/>
          <w:rFonts w:ascii="Calibri" w:eastAsia="Times New Roman" w:hAnsi="Calibri" w:cs="Times New Roman"/>
        </w:rPr>
        <w:footnoteReference w:id="18"/>
      </w:r>
      <w:r w:rsidRPr="00894F6F">
        <w:rPr>
          <w:rFonts w:ascii="Calibri" w:eastAsia="Times New Roman" w:hAnsi="Calibri" w:cs="Times New Roman"/>
        </w:rPr>
        <w:t xml:space="preserve">Ladbrokes – staking up 47%, net revenue up 54%, actives up 65%.  </w:t>
      </w:r>
    </w:p>
    <w:p w14:paraId="70DD649D" w14:textId="77777777" w:rsidR="00661DE4" w:rsidRPr="00894F6F" w:rsidRDefault="00661DE4" w:rsidP="00661DE4">
      <w:pPr>
        <w:pStyle w:val="ListParagraph"/>
        <w:numPr>
          <w:ilvl w:val="0"/>
          <w:numId w:val="9"/>
        </w:numPr>
        <w:spacing w:after="0" w:line="276" w:lineRule="auto"/>
        <w:rPr>
          <w:rFonts w:ascii="Times New Roman" w:hAnsi="Times New Roman" w:cs="Times New Roman"/>
          <w:sz w:val="24"/>
          <w:szCs w:val="24"/>
          <w:lang w:eastAsia="en-AU"/>
        </w:rPr>
      </w:pPr>
      <w:r w:rsidRPr="00894F6F">
        <w:t xml:space="preserve">Ladbrokes notes that in 2015 ‘Australia has been one of our </w:t>
      </w:r>
      <w:r>
        <w:t>strongest</w:t>
      </w:r>
      <w:r w:rsidRPr="00894F6F">
        <w:t xml:space="preserve"> performing businesses and, despite strong competition in this market, it delivered net revenue up 70.9% in the year</w:t>
      </w:r>
      <w:r w:rsidRPr="00894F6F">
        <w:rPr>
          <w:rStyle w:val="FootnoteReference"/>
          <w:rFonts w:ascii="Calibri" w:eastAsia="Times New Roman" w:hAnsi="Calibri" w:cs="Times New Roman"/>
        </w:rPr>
        <w:footnoteReference w:id="19"/>
      </w:r>
      <w:r w:rsidRPr="00894F6F">
        <w:rPr>
          <w:rFonts w:ascii="Times New Roman" w:hAnsi="Times New Roman" w:cs="Times New Roman"/>
          <w:sz w:val="24"/>
          <w:szCs w:val="24"/>
          <w:lang w:eastAsia="en-AU"/>
        </w:rPr>
        <w:t xml:space="preserve"> </w:t>
      </w:r>
    </w:p>
    <w:p w14:paraId="7869DE3B" w14:textId="77777777" w:rsidR="00661DE4" w:rsidRPr="00894F6F" w:rsidRDefault="00661DE4" w:rsidP="00661DE4">
      <w:pPr>
        <w:spacing w:after="0" w:line="240" w:lineRule="auto"/>
        <w:rPr>
          <w:rFonts w:ascii="Times New Roman" w:hAnsi="Times New Roman" w:cs="Times New Roman"/>
          <w:sz w:val="24"/>
          <w:szCs w:val="24"/>
          <w:lang w:eastAsia="en-AU"/>
        </w:rPr>
      </w:pPr>
    </w:p>
    <w:p w14:paraId="107F7FBD" w14:textId="77777777" w:rsidR="00661DE4" w:rsidRPr="00894F6F" w:rsidRDefault="00661DE4" w:rsidP="00661DE4">
      <w:r w:rsidRPr="00894F6F">
        <w:t xml:space="preserve">Council is concerned about the harmful impacts of all forms of gambling, and the growing participation in online gambling, </w:t>
      </w:r>
      <w:r>
        <w:t>however its ability to influence</w:t>
      </w:r>
      <w:r w:rsidRPr="00894F6F">
        <w:t xml:space="preserve"> falls outside the direct influence of l</w:t>
      </w:r>
      <w:r>
        <w:t xml:space="preserve">ocal government legislation as this </w:t>
      </w:r>
      <w:r w:rsidRPr="00894F6F">
        <w:t xml:space="preserve">is the domain of Federal and State governments.  </w:t>
      </w:r>
      <w:r>
        <w:t>Council is particularly concerned with the impacts of online and sports betting on young people and calls for more research in this space.</w:t>
      </w:r>
    </w:p>
    <w:p w14:paraId="06542458" w14:textId="77777777" w:rsidR="00661DE4" w:rsidRDefault="00661DE4" w:rsidP="00661DE4">
      <w:r>
        <w:t>Council has a responsibility and will continue to advocate at both the State and Federal levels for legislative and regulatory changes in this space.</w:t>
      </w:r>
    </w:p>
    <w:p w14:paraId="6502FDA9" w14:textId="77777777" w:rsidR="00661DE4" w:rsidRDefault="00661DE4" w:rsidP="00661DE4">
      <w:r>
        <w:lastRenderedPageBreak/>
        <w:br w:type="page"/>
      </w:r>
    </w:p>
    <w:p w14:paraId="3ECA375A" w14:textId="77777777" w:rsidR="00661DE4" w:rsidRDefault="00661DE4" w:rsidP="00661DE4"/>
    <w:p w14:paraId="6EBA544E" w14:textId="77777777" w:rsidR="00661DE4" w:rsidRPr="00EF66B8" w:rsidRDefault="00661DE4" w:rsidP="00661DE4">
      <w:pPr>
        <w:pStyle w:val="Heading1"/>
        <w:jc w:val="both"/>
        <w:rPr>
          <w:b/>
          <w:color w:val="7030A0"/>
        </w:rPr>
      </w:pPr>
      <w:r w:rsidRPr="00EF66B8">
        <w:rPr>
          <w:b/>
          <w:color w:val="7030A0"/>
        </w:rPr>
        <w:t>Glossary</w:t>
      </w:r>
    </w:p>
    <w:p w14:paraId="7D4121A7" w14:textId="77777777" w:rsidR="00661DE4" w:rsidRPr="00894F6F" w:rsidRDefault="00661DE4" w:rsidP="00661DE4">
      <w:pPr>
        <w:rPr>
          <w:b/>
        </w:rPr>
      </w:pPr>
      <w:r w:rsidRPr="00894F6F">
        <w:rPr>
          <w:b/>
        </w:rPr>
        <w:t xml:space="preserve">EGM: </w:t>
      </w:r>
      <w:r w:rsidRPr="00894F6F">
        <w:t>an electronic gaming machine is a computerised gambling device that has a video screen displaying symbols on simulated reels. Cash is inserted into the machine and buttons are used to place bets. The machine randomly determines the position of symbols on the screen. Wins are returned as credits back into the machine.</w:t>
      </w:r>
    </w:p>
    <w:p w14:paraId="46B50478" w14:textId="77777777" w:rsidR="00661DE4" w:rsidRDefault="00661DE4" w:rsidP="00661DE4">
      <w:r w:rsidRPr="00894F6F">
        <w:rPr>
          <w:b/>
        </w:rPr>
        <w:t xml:space="preserve">VCGLR: </w:t>
      </w:r>
      <w:r>
        <w:rPr>
          <w:b/>
        </w:rPr>
        <w:t xml:space="preserve"> </w:t>
      </w:r>
      <w:r>
        <w:t xml:space="preserve">Victorian Commission for Gambling and Liquor Regulation, </w:t>
      </w:r>
      <w:r w:rsidRPr="00894F6F">
        <w:t>the independent statutory authority which regulates Victoria's gambling and liquor industries. The commission conducts hearings (both public and private) on matters such as approval for proposed gaming premises, or requests for increased gaming machines.</w:t>
      </w:r>
    </w:p>
    <w:p w14:paraId="297952BA" w14:textId="77777777" w:rsidR="00661DE4" w:rsidRPr="00A824BE" w:rsidRDefault="00661DE4" w:rsidP="00661DE4">
      <w:r w:rsidRPr="00A824BE">
        <w:rPr>
          <w:b/>
        </w:rPr>
        <w:t>VCAT:</w:t>
      </w:r>
      <w:r>
        <w:rPr>
          <w:b/>
        </w:rPr>
        <w:t xml:space="preserve"> </w:t>
      </w:r>
      <w:r>
        <w:t>Victorian Civil &amp; Administrative Tribunal is a tribunal that hears and decides civil and administrative legal cases in Victoria.</w:t>
      </w:r>
    </w:p>
    <w:p w14:paraId="2E6768F6" w14:textId="77777777" w:rsidR="00661DE4" w:rsidRPr="00894F6F" w:rsidRDefault="00661DE4" w:rsidP="00661DE4">
      <w:r w:rsidRPr="00894F6F">
        <w:rPr>
          <w:b/>
        </w:rPr>
        <w:t>SEIFA</w:t>
      </w:r>
      <w:r>
        <w:rPr>
          <w:b/>
        </w:rPr>
        <w:t xml:space="preserve"> IRSD</w:t>
      </w:r>
      <w:r w:rsidRPr="00894F6F">
        <w:rPr>
          <w:b/>
        </w:rPr>
        <w:t xml:space="preserve">: </w:t>
      </w:r>
      <w:r w:rsidRPr="00A73F29">
        <w:rPr>
          <w:bCs/>
        </w:rPr>
        <w:t>a product developed by the ABS that ranks areas in Australia according to relative socio-economic advantage and disadvantage. The indexes are based on information from the five-yearly Census.</w:t>
      </w:r>
      <w:r>
        <w:rPr>
          <w:bCs/>
        </w:rPr>
        <w:t xml:space="preserve"> </w:t>
      </w:r>
      <w:r>
        <w:rPr>
          <w:rFonts w:ascii="Calibri" w:eastAsia="Times New Roman" w:hAnsi="Calibri" w:cs="Times New Roman"/>
          <w:szCs w:val="24"/>
        </w:rPr>
        <w:t xml:space="preserve">The four indices are constructed from </w:t>
      </w:r>
      <w:r w:rsidRPr="00BC1CE6">
        <w:rPr>
          <w:rFonts w:ascii="Calibri" w:eastAsia="Times New Roman" w:hAnsi="Calibri" w:cs="Times New Roman"/>
          <w:szCs w:val="24"/>
        </w:rPr>
        <w:t>Census variables</w:t>
      </w:r>
      <w:r>
        <w:rPr>
          <w:rFonts w:ascii="Calibri" w:eastAsia="Times New Roman" w:hAnsi="Calibri" w:cs="Times New Roman"/>
          <w:szCs w:val="24"/>
        </w:rPr>
        <w:t xml:space="preserve"> and </w:t>
      </w:r>
      <w:r w:rsidRPr="00E55434">
        <w:rPr>
          <w:rFonts w:ascii="Calibri" w:eastAsia="Times New Roman" w:hAnsi="Calibri" w:cs="Times New Roman"/>
          <w:szCs w:val="24"/>
        </w:rPr>
        <w:t xml:space="preserve">each </w:t>
      </w:r>
      <w:r>
        <w:rPr>
          <w:rFonts w:ascii="Calibri" w:eastAsia="Times New Roman" w:hAnsi="Calibri" w:cs="Times New Roman"/>
          <w:szCs w:val="24"/>
        </w:rPr>
        <w:t>measure</w:t>
      </w:r>
      <w:r w:rsidRPr="00E55434">
        <w:rPr>
          <w:rFonts w:ascii="Calibri" w:eastAsia="Times New Roman" w:hAnsi="Calibri" w:cs="Times New Roman"/>
          <w:szCs w:val="24"/>
        </w:rPr>
        <w:t xml:space="preserve"> </w:t>
      </w:r>
      <w:r>
        <w:rPr>
          <w:rFonts w:ascii="Calibri" w:eastAsia="Times New Roman" w:hAnsi="Calibri" w:cs="Times New Roman"/>
          <w:szCs w:val="24"/>
        </w:rPr>
        <w:t xml:space="preserve">describes </w:t>
      </w:r>
      <w:r w:rsidRPr="00E55434">
        <w:rPr>
          <w:rFonts w:ascii="Calibri" w:eastAsia="Times New Roman" w:hAnsi="Calibri" w:cs="Times New Roman"/>
          <w:szCs w:val="24"/>
        </w:rPr>
        <w:t>a sl</w:t>
      </w:r>
      <w:r>
        <w:rPr>
          <w:rFonts w:ascii="Calibri" w:eastAsia="Times New Roman" w:hAnsi="Calibri" w:cs="Times New Roman"/>
          <w:szCs w:val="24"/>
        </w:rPr>
        <w:t>ightly different feature of personal s</w:t>
      </w:r>
      <w:r w:rsidRPr="00E55434">
        <w:rPr>
          <w:rFonts w:ascii="Calibri" w:eastAsia="Times New Roman" w:hAnsi="Calibri" w:cs="Times New Roman"/>
          <w:szCs w:val="24"/>
        </w:rPr>
        <w:t>ocio-economic conditions in an area.</w:t>
      </w:r>
    </w:p>
    <w:p w14:paraId="50327278" w14:textId="77777777" w:rsidR="00661DE4" w:rsidRPr="00894F6F" w:rsidRDefault="00661DE4" w:rsidP="00661DE4">
      <w:r w:rsidRPr="00894F6F">
        <w:rPr>
          <w:b/>
        </w:rPr>
        <w:t xml:space="preserve">Community benefits: </w:t>
      </w:r>
      <w:r w:rsidRPr="00894F6F">
        <w:t>contributions that clubs are legally obliged to support the community. Clubs are required to contribute at least 8.33% of their EGM revenue to support the community. Clubs document these contributions in annual Community Benefit Statements that are lodged with the VCGLR. Clubs can claim expenditures under three classes:</w:t>
      </w:r>
    </w:p>
    <w:p w14:paraId="3A5E3BE9" w14:textId="77777777" w:rsidR="00661DE4" w:rsidRPr="00894F6F" w:rsidRDefault="00661DE4" w:rsidP="00661DE4">
      <w:pPr>
        <w:numPr>
          <w:ilvl w:val="0"/>
          <w:numId w:val="13"/>
        </w:numPr>
        <w:spacing w:after="160" w:line="259" w:lineRule="auto"/>
      </w:pPr>
      <w:r w:rsidRPr="00894F6F">
        <w:t>Class A consists of direct community benefits in the form of donations, gifts and sponsorships to another person resident in Victoria. This can include cash and (non-alcoholic) goods and services. Clubs may claim 100% of the expenditure in this category as community benefits.</w:t>
      </w:r>
    </w:p>
    <w:p w14:paraId="4C2D3D13" w14:textId="77777777" w:rsidR="00661DE4" w:rsidRPr="00894F6F" w:rsidRDefault="00661DE4" w:rsidP="00661DE4">
      <w:pPr>
        <w:numPr>
          <w:ilvl w:val="0"/>
          <w:numId w:val="13"/>
        </w:numPr>
        <w:spacing w:after="160" w:line="259" w:lineRule="auto"/>
      </w:pPr>
      <w:r w:rsidRPr="00894F6F">
        <w:t>Class B consists of indirect community benefits, which the Order indicates to encompass capital expenditures above $10,000, financing costs (including interest), and operating costs. Clubs may claim the amount equivalent to the proportion of revenue made from non-gaming sources to the club’s total revenue.</w:t>
      </w:r>
    </w:p>
    <w:p w14:paraId="7E8CDD29" w14:textId="77777777" w:rsidR="00661DE4" w:rsidRPr="00894F6F" w:rsidRDefault="00661DE4" w:rsidP="00661DE4">
      <w:pPr>
        <w:numPr>
          <w:ilvl w:val="0"/>
          <w:numId w:val="13"/>
        </w:numPr>
        <w:spacing w:after="160" w:line="259" w:lineRule="auto"/>
      </w:pPr>
      <w:r w:rsidRPr="00894F6F">
        <w:t>Class C is a miscellaneous item which consists of the provision of responsible gambling measures and activities (except those required by law), reimbursements for expenses incurred by volunteers, and the preparation and audit of a community benefit statement to a maximum of $3,000. Clubs may claim 100% of expenses in this class as community benefits.</w:t>
      </w:r>
    </w:p>
    <w:p w14:paraId="7D0D773C" w14:textId="77777777" w:rsidR="00661DE4" w:rsidRDefault="00661DE4" w:rsidP="00661DE4">
      <w:r w:rsidRPr="00E23EAA">
        <w:rPr>
          <w:b/>
        </w:rPr>
        <w:t>Low risk gambler</w:t>
      </w:r>
      <w:r>
        <w:rPr>
          <w:b/>
        </w:rPr>
        <w:t xml:space="preserve">s: </w:t>
      </w:r>
      <w:r>
        <w:t>are defined as those scoring a 1 to 3 on the Problem Gambling Severity Index, a questionnaire that helps estimate a person’s risk of gambling problems and the harm resulting from them.</w:t>
      </w:r>
    </w:p>
    <w:p w14:paraId="08A4370E" w14:textId="77777777" w:rsidR="00661DE4" w:rsidRDefault="00661DE4" w:rsidP="00661DE4">
      <w:r w:rsidRPr="00E23EAA">
        <w:rPr>
          <w:b/>
        </w:rPr>
        <w:t>Moderate risk gamblers:</w:t>
      </w:r>
      <w:r>
        <w:rPr>
          <w:b/>
        </w:rPr>
        <w:t xml:space="preserve"> </w:t>
      </w:r>
      <w:r>
        <w:t>are defined as those scoring 4 to 7 on the Problem Gambling Severity Index,</w:t>
      </w:r>
      <w:r w:rsidRPr="00AA09D2">
        <w:t xml:space="preserve"> </w:t>
      </w:r>
      <w:r>
        <w:t>a questionnaire that helps estimate a person’s risk of gambling problems and the harm resulting from them.</w:t>
      </w:r>
    </w:p>
    <w:p w14:paraId="1EE0CA1D" w14:textId="77777777" w:rsidR="00661DE4" w:rsidRDefault="00661DE4" w:rsidP="00661DE4">
      <w:r w:rsidRPr="00AA09D2">
        <w:rPr>
          <w:b/>
        </w:rPr>
        <w:lastRenderedPageBreak/>
        <w:t>Problem gamblers:</w:t>
      </w:r>
      <w:r>
        <w:rPr>
          <w:b/>
        </w:rPr>
        <w:t xml:space="preserve"> </w:t>
      </w:r>
      <w:r>
        <w:t>are defined as those who have experienced adverse consequences as a result of their gambling.  Problem gamblers have scores of 8 or more on the Problem Gambling Severity Index,</w:t>
      </w:r>
      <w:r w:rsidRPr="00AA09D2">
        <w:t xml:space="preserve"> </w:t>
      </w:r>
      <w:r>
        <w:t>a questionnaire that helps estimate a person’s risk of gambling problems and the harm resulting from them.</w:t>
      </w:r>
    </w:p>
    <w:p w14:paraId="30B66C97" w14:textId="77777777" w:rsidR="00661DE4" w:rsidRDefault="00661DE4" w:rsidP="00661DE4">
      <w:r>
        <w:rPr>
          <w:b/>
        </w:rPr>
        <w:t xml:space="preserve">VLGA:  </w:t>
      </w:r>
      <w:r>
        <w:t>Victorian Local Governance Association is an independent organisation that supports councils, councillors and communities in good governance.</w:t>
      </w:r>
    </w:p>
    <w:p w14:paraId="61709D38" w14:textId="77777777" w:rsidR="00661DE4" w:rsidRDefault="00661DE4" w:rsidP="00661DE4">
      <w:r w:rsidRPr="00AA09D2">
        <w:rPr>
          <w:b/>
        </w:rPr>
        <w:t>Gambling</w:t>
      </w:r>
      <w:r>
        <w:rPr>
          <w:b/>
        </w:rPr>
        <w:t xml:space="preserve">:  </w:t>
      </w:r>
      <w:r>
        <w:t>Gambling refers to any activity associated with gambling, including gambling on electronic gaming machines and online gambling.</w:t>
      </w:r>
    </w:p>
    <w:p w14:paraId="384C484F" w14:textId="77777777" w:rsidR="00661DE4" w:rsidRPr="00A824BE" w:rsidRDefault="00661DE4" w:rsidP="00661DE4">
      <w:r w:rsidRPr="00A824BE">
        <w:rPr>
          <w:b/>
        </w:rPr>
        <w:t xml:space="preserve">Burden of disease: </w:t>
      </w:r>
      <w:r>
        <w:rPr>
          <w:b/>
        </w:rPr>
        <w:t xml:space="preserve"> </w:t>
      </w:r>
      <w:r>
        <w:t>Is the impact of a health problem as measured by financial cost, mortality. Morbidity, or other indicator. It is often quantified in terms of quality-adjusted life years or disability-adjusted life years, both of which quantify the number of years lost due to disease.</w:t>
      </w:r>
    </w:p>
    <w:p w14:paraId="617EC5CE" w14:textId="77777777" w:rsidR="00661DE4" w:rsidRPr="004C5D26" w:rsidRDefault="00661DE4" w:rsidP="00661DE4">
      <w:pPr>
        <w:rPr>
          <w:b/>
        </w:rPr>
      </w:pPr>
    </w:p>
    <w:p w14:paraId="57775823" w14:textId="77777777" w:rsidR="009E4461" w:rsidRDefault="009E4461"/>
    <w:p w14:paraId="187D0A90" w14:textId="77777777" w:rsidR="00661DE4" w:rsidRDefault="00661DE4"/>
    <w:sectPr w:rsidR="00661DE4" w:rsidSect="009E4461">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75324" w14:textId="77777777" w:rsidR="00BF497D" w:rsidRDefault="00BF497D" w:rsidP="009E4461">
      <w:pPr>
        <w:spacing w:after="0" w:line="240" w:lineRule="auto"/>
      </w:pPr>
      <w:r>
        <w:separator/>
      </w:r>
    </w:p>
  </w:endnote>
  <w:endnote w:type="continuationSeparator" w:id="0">
    <w:p w14:paraId="6E837173" w14:textId="77777777" w:rsidR="00BF497D" w:rsidRDefault="00BF497D" w:rsidP="009E4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Headings)">
    <w:charset w:val="00"/>
    <w:family w:val="roman"/>
    <w:pitch w:val="default"/>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xOT-Medium">
    <w:panose1 w:val="02010604060101020104"/>
    <w:charset w:val="00"/>
    <w:family w:val="modern"/>
    <w:notTrueType/>
    <w:pitch w:val="variable"/>
    <w:sig w:usb0="800000AF" w:usb1="4000247B" w:usb2="00000000" w:usb3="00000000" w:csb0="00000001" w:csb1="00000000"/>
  </w:font>
  <w:font w:name="DaxOT-Regular">
    <w:panose1 w:val="02010504060101020104"/>
    <w:charset w:val="00"/>
    <w:family w:val="modern"/>
    <w:notTrueType/>
    <w:pitch w:val="variable"/>
    <w:sig w:usb0="800000AF" w:usb1="4000247B" w:usb2="00000000" w:usb3="00000000" w:csb0="00000001" w:csb1="00000000"/>
  </w:font>
  <w:font w:name="Calibri Body">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7B02A" w14:textId="2841D688" w:rsidR="00661DE4" w:rsidRDefault="00661D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1D711E">
      <w:rPr>
        <w:caps/>
        <w:noProof/>
        <w:color w:val="4F81BD" w:themeColor="accent1"/>
      </w:rPr>
      <w:t>2</w:t>
    </w:r>
    <w:r>
      <w:rPr>
        <w:caps/>
        <w:noProof/>
        <w:color w:val="4F81BD" w:themeColor="accent1"/>
      </w:rPr>
      <w:fldChar w:fldCharType="end"/>
    </w:r>
  </w:p>
  <w:p w14:paraId="306E2A14" w14:textId="77777777" w:rsidR="00661DE4" w:rsidRDefault="00661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163E3" w14:textId="77777777" w:rsidR="007C490A" w:rsidRDefault="007C490A">
    <w:pPr>
      <w:pStyle w:val="Footer"/>
      <w:jc w:val="right"/>
    </w:pPr>
  </w:p>
  <w:p w14:paraId="73E1E5DC" w14:textId="77777777" w:rsidR="007453D9" w:rsidRDefault="007453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62BD1" w14:textId="77777777" w:rsidR="00661DE4" w:rsidRDefault="00661D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D8DFD" w14:textId="77777777" w:rsidR="00661DE4" w:rsidRPr="00661DE4" w:rsidRDefault="00661DE4" w:rsidP="00661DE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30E8F" w14:textId="77777777" w:rsidR="007453D9" w:rsidRDefault="007453D9">
    <w:pPr>
      <w:pStyle w:val="Footer"/>
      <w:jc w:val="center"/>
    </w:pPr>
  </w:p>
  <w:p w14:paraId="7F826D25" w14:textId="77777777" w:rsidR="00661DE4" w:rsidRPr="00661DE4" w:rsidRDefault="00661DE4" w:rsidP="00661DE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2074B" w14:textId="77777777" w:rsidR="00661DE4" w:rsidRDefault="00661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28062" w14:textId="77777777" w:rsidR="00BF497D" w:rsidRDefault="00BF497D" w:rsidP="009E4461">
      <w:pPr>
        <w:spacing w:after="0" w:line="240" w:lineRule="auto"/>
      </w:pPr>
      <w:r>
        <w:separator/>
      </w:r>
    </w:p>
  </w:footnote>
  <w:footnote w:type="continuationSeparator" w:id="0">
    <w:p w14:paraId="79E81732" w14:textId="77777777" w:rsidR="00BF497D" w:rsidRDefault="00BF497D" w:rsidP="009E4461">
      <w:pPr>
        <w:spacing w:after="0" w:line="240" w:lineRule="auto"/>
      </w:pPr>
      <w:r>
        <w:continuationSeparator/>
      </w:r>
    </w:p>
  </w:footnote>
  <w:footnote w:id="1">
    <w:p w14:paraId="7DF8DBCA" w14:textId="77777777" w:rsidR="00661DE4" w:rsidRDefault="00661DE4" w:rsidP="00661DE4">
      <w:pPr>
        <w:pStyle w:val="FootnoteText"/>
      </w:pPr>
      <w:r>
        <w:rPr>
          <w:rStyle w:val="FootnoteReference"/>
        </w:rPr>
        <w:footnoteRef/>
      </w:r>
      <w:r>
        <w:t xml:space="preserve"> Browne, M, Langham, E, Rawat, V, Geer, M, Li, E, Rose, J, Rockloff, M, Donaldson, P, Thorne, H, Goodwin, B, Bryden, G &amp; Best, T 2016, Assessing gambling-related harm in Victoria: a public health perspective, Victorian Responsible Gambling Foundation, Melbourne.</w:t>
      </w:r>
    </w:p>
  </w:footnote>
  <w:footnote w:id="2">
    <w:p w14:paraId="4F14C9B8" w14:textId="77777777" w:rsidR="00661DE4" w:rsidRPr="008849F2" w:rsidRDefault="00661DE4" w:rsidP="00661DE4">
      <w:pPr>
        <w:pStyle w:val="FootnoteText"/>
        <w:rPr>
          <w:sz w:val="16"/>
          <w:szCs w:val="16"/>
        </w:rPr>
      </w:pPr>
      <w:r w:rsidRPr="008849F2">
        <w:rPr>
          <w:rStyle w:val="FootnoteReference"/>
        </w:rPr>
        <w:footnoteRef/>
      </w:r>
      <w:r w:rsidRPr="008849F2">
        <w:rPr>
          <w:sz w:val="16"/>
          <w:szCs w:val="16"/>
        </w:rPr>
        <w:t xml:space="preserve"> Australian Bureau of Statistics 2016, </w:t>
      </w:r>
      <w:hyperlink r:id="rId1" w:history="1">
        <w:r w:rsidRPr="008849F2">
          <w:rPr>
            <w:rStyle w:val="Hyperlink"/>
            <w:sz w:val="16"/>
            <w:szCs w:val="16"/>
          </w:rPr>
          <w:t>Regional Population Growth 2014-15</w:t>
        </w:r>
      </w:hyperlink>
    </w:p>
  </w:footnote>
  <w:footnote w:id="3">
    <w:p w14:paraId="6B8B8310" w14:textId="77777777" w:rsidR="00661DE4" w:rsidRPr="008849F2" w:rsidRDefault="00661DE4" w:rsidP="00661DE4">
      <w:pPr>
        <w:spacing w:after="0" w:line="240" w:lineRule="auto"/>
        <w:ind w:right="301"/>
        <w:rPr>
          <w:sz w:val="16"/>
          <w:szCs w:val="16"/>
        </w:rPr>
      </w:pPr>
      <w:r w:rsidRPr="008849F2">
        <w:rPr>
          <w:rStyle w:val="FootnoteReference"/>
        </w:rPr>
        <w:footnoteRef/>
      </w:r>
      <w:r w:rsidRPr="008849F2">
        <w:rPr>
          <w:sz w:val="16"/>
          <w:szCs w:val="16"/>
        </w:rPr>
        <w:t xml:space="preserve"> </w:t>
      </w:r>
      <w:hyperlink r:id="rId2" w:history="1">
        <w:r w:rsidRPr="008849F2">
          <w:rPr>
            <w:rStyle w:val="Hyperlink"/>
            <w:sz w:val="16"/>
            <w:szCs w:val="16"/>
          </w:rPr>
          <w:t>Wyndham Population and Household Forecasts 2011-2036</w:t>
        </w:r>
      </w:hyperlink>
    </w:p>
  </w:footnote>
  <w:footnote w:id="4">
    <w:p w14:paraId="622FFA3E" w14:textId="77777777" w:rsidR="00661DE4" w:rsidRPr="008849F2" w:rsidRDefault="00661DE4" w:rsidP="00661DE4">
      <w:pPr>
        <w:spacing w:after="0" w:line="240" w:lineRule="auto"/>
        <w:ind w:right="119"/>
        <w:rPr>
          <w:sz w:val="16"/>
          <w:szCs w:val="16"/>
        </w:rPr>
      </w:pPr>
      <w:r w:rsidRPr="008849F2">
        <w:rPr>
          <w:rStyle w:val="FootnoteReference"/>
        </w:rPr>
        <w:footnoteRef/>
      </w:r>
      <w:r w:rsidRPr="008849F2">
        <w:rPr>
          <w:sz w:val="16"/>
          <w:szCs w:val="16"/>
        </w:rPr>
        <w:t xml:space="preserve"> Australian Bureau of Statistics, </w:t>
      </w:r>
      <w:hyperlink r:id="rId3" w:history="1">
        <w:r w:rsidRPr="008849F2">
          <w:rPr>
            <w:rStyle w:val="Hyperlink"/>
            <w:sz w:val="16"/>
            <w:szCs w:val="16"/>
          </w:rPr>
          <w:t xml:space="preserve">Census of Population and Housing 2016 and Wyndham City Council, Wyndham Snapshot June 2017 </w:t>
        </w:r>
      </w:hyperlink>
    </w:p>
  </w:footnote>
  <w:footnote w:id="5">
    <w:p w14:paraId="659FF90F" w14:textId="77777777" w:rsidR="00661DE4" w:rsidRPr="008849F2" w:rsidRDefault="00661DE4" w:rsidP="00661DE4">
      <w:pPr>
        <w:pStyle w:val="FootnoteText"/>
        <w:rPr>
          <w:sz w:val="16"/>
          <w:szCs w:val="16"/>
        </w:rPr>
      </w:pPr>
      <w:r w:rsidRPr="008849F2">
        <w:rPr>
          <w:rStyle w:val="FootnoteReference"/>
        </w:rPr>
        <w:footnoteRef/>
      </w:r>
      <w:r w:rsidRPr="008849F2">
        <w:rPr>
          <w:sz w:val="16"/>
          <w:szCs w:val="16"/>
        </w:rPr>
        <w:t xml:space="preserve"> ID Consulting, </w:t>
      </w:r>
      <w:hyperlink r:id="rId4" w:history="1">
        <w:r w:rsidRPr="008849F2">
          <w:rPr>
            <w:rStyle w:val="Hyperlink"/>
            <w:sz w:val="16"/>
            <w:szCs w:val="16"/>
          </w:rPr>
          <w:t>City of Wyndham Economic Profile, Unemployment, September 2016</w:t>
        </w:r>
      </w:hyperlink>
    </w:p>
  </w:footnote>
  <w:footnote w:id="6">
    <w:p w14:paraId="45229ACD" w14:textId="77777777" w:rsidR="00661DE4" w:rsidRPr="008849F2" w:rsidRDefault="00661DE4" w:rsidP="00661DE4">
      <w:pPr>
        <w:pStyle w:val="FootnoteText"/>
        <w:rPr>
          <w:sz w:val="16"/>
          <w:szCs w:val="16"/>
        </w:rPr>
      </w:pPr>
      <w:r w:rsidRPr="008849F2">
        <w:rPr>
          <w:rStyle w:val="FootnoteReference"/>
        </w:rPr>
        <w:footnoteRef/>
      </w:r>
      <w:r w:rsidRPr="008849F2">
        <w:rPr>
          <w:sz w:val="16"/>
          <w:szCs w:val="16"/>
        </w:rPr>
        <w:t xml:space="preserve"> Wyndham City Council 2016, </w:t>
      </w:r>
      <w:hyperlink r:id="rId5" w:history="1">
        <w:r w:rsidRPr="008849F2">
          <w:rPr>
            <w:rStyle w:val="Hyperlink"/>
            <w:sz w:val="16"/>
            <w:szCs w:val="16"/>
          </w:rPr>
          <w:t>Housing Stress and Homelessness Profile</w:t>
        </w:r>
      </w:hyperlink>
    </w:p>
  </w:footnote>
  <w:footnote w:id="7">
    <w:p w14:paraId="5B9988F5" w14:textId="77777777" w:rsidR="00661DE4" w:rsidRPr="008849F2" w:rsidRDefault="00661DE4" w:rsidP="00661DE4">
      <w:pPr>
        <w:pStyle w:val="FootnoteText"/>
        <w:rPr>
          <w:sz w:val="16"/>
          <w:szCs w:val="16"/>
        </w:rPr>
      </w:pPr>
      <w:r w:rsidRPr="008849F2">
        <w:rPr>
          <w:rStyle w:val="FootnoteReference"/>
        </w:rPr>
        <w:footnoteRef/>
      </w:r>
      <w:r w:rsidRPr="008849F2">
        <w:rPr>
          <w:sz w:val="16"/>
          <w:szCs w:val="16"/>
        </w:rPr>
        <w:t xml:space="preserve"> Crime Statistics Agency 2016, </w:t>
      </w:r>
      <w:hyperlink r:id="rId6" w:history="1">
        <w:r w:rsidRPr="008849F2">
          <w:rPr>
            <w:rStyle w:val="Hyperlink"/>
            <w:sz w:val="16"/>
            <w:szCs w:val="16"/>
          </w:rPr>
          <w:t>Family Incidents Data Tables</w:t>
        </w:r>
      </w:hyperlink>
    </w:p>
  </w:footnote>
  <w:footnote w:id="8">
    <w:p w14:paraId="2C27FAB8" w14:textId="77777777" w:rsidR="00661DE4" w:rsidRDefault="00661DE4" w:rsidP="00661DE4">
      <w:pPr>
        <w:pStyle w:val="FootnoteText"/>
      </w:pPr>
      <w:r>
        <w:rPr>
          <w:rStyle w:val="FootnoteReference"/>
        </w:rPr>
        <w:footnoteRef/>
      </w:r>
      <w:r>
        <w:t xml:space="preserve"> Electronic gaming machines are a synonym for pokies. They are a computerised gambling device that has a video screen displaying symbols on simulated reels. To operate cash is inserted into the machine and buttons are used to place bets. The machine randomly determines the position of symbols on the screen. Wins are returned as credits back into the machine.</w:t>
      </w:r>
    </w:p>
  </w:footnote>
  <w:footnote w:id="9">
    <w:p w14:paraId="14CA24E9" w14:textId="77777777" w:rsidR="00661DE4" w:rsidRDefault="00661DE4" w:rsidP="00661DE4">
      <w:pPr>
        <w:pStyle w:val="FootnoteText"/>
      </w:pPr>
      <w:r>
        <w:rPr>
          <w:rStyle w:val="FootnoteReference"/>
        </w:rPr>
        <w:footnoteRef/>
      </w:r>
      <w:r>
        <w:t xml:space="preserve"> Browne, M, Langham, E, Rawat, V, Geer, M, Li, E, Rose, J, Rockloff, M, Donaldson, P, Thorne, H, Goodwin, B, Bryden, G &amp; Best, T 2016, Assessing gambling-related harm in Victoria: a public health perspective, Victorian Responsible Gambling Foundation, Melbourne.</w:t>
      </w:r>
    </w:p>
  </w:footnote>
  <w:footnote w:id="10">
    <w:p w14:paraId="29F6BDBC" w14:textId="77777777" w:rsidR="00661DE4" w:rsidRDefault="00661DE4" w:rsidP="00661DE4">
      <w:pPr>
        <w:pStyle w:val="FootnoteText"/>
      </w:pPr>
      <w:r>
        <w:rPr>
          <w:rStyle w:val="FootnoteReference"/>
        </w:rPr>
        <w:footnoteRef/>
      </w:r>
      <w:r>
        <w:t xml:space="preserve"> Miller, H (2017) Hidden harm: Low-risk and moderate-risk gambling, Victorian Responsible Gambling Foundation, Melbourne.</w:t>
      </w:r>
    </w:p>
  </w:footnote>
  <w:footnote w:id="11">
    <w:p w14:paraId="79D9ACE3" w14:textId="77777777" w:rsidR="00661DE4" w:rsidRDefault="00661DE4" w:rsidP="00661DE4">
      <w:pPr>
        <w:pStyle w:val="FootnoteText"/>
      </w:pPr>
      <w:r>
        <w:rPr>
          <w:rStyle w:val="FootnoteReference"/>
        </w:rPr>
        <w:footnoteRef/>
      </w:r>
      <w:r>
        <w:t xml:space="preserve"> Hare, S. (2015) Study of Gambling and Health in Victoria, Victoria, Australia: Victorian Responsible Gambling Foundation and Victorian Department of Justice and Regulation.</w:t>
      </w:r>
    </w:p>
  </w:footnote>
  <w:footnote w:id="12">
    <w:p w14:paraId="2ECA6745" w14:textId="77777777" w:rsidR="00661DE4" w:rsidRDefault="00661DE4" w:rsidP="00661DE4">
      <w:pPr>
        <w:pStyle w:val="FootnoteText"/>
      </w:pPr>
      <w:r>
        <w:rPr>
          <w:rStyle w:val="FootnoteReference"/>
        </w:rPr>
        <w:footnoteRef/>
      </w:r>
      <w:r>
        <w:t xml:space="preserve"> The categories for risk of gambling harm used are based on the Problem Gambling Severity Index. This is a questionnaire that helps estimate a person’s risk of gambling problems and the harm resulting from them.</w:t>
      </w:r>
    </w:p>
  </w:footnote>
  <w:footnote w:id="13">
    <w:p w14:paraId="25E87DA3" w14:textId="77777777" w:rsidR="00661DE4" w:rsidRDefault="00661DE4" w:rsidP="00661DE4">
      <w:pPr>
        <w:pStyle w:val="FootnoteText"/>
      </w:pPr>
      <w:r w:rsidRPr="00B05C48">
        <w:rPr>
          <w:rStyle w:val="FootnoteReference"/>
        </w:rPr>
        <w:footnoteRef/>
      </w:r>
      <w:r w:rsidRPr="00B05C48">
        <w:rPr>
          <w:sz w:val="16"/>
        </w:rPr>
        <w:t xml:space="preserve"> All data in this section comes from the VCGLR unless otherwise indicated. ABS CPI data was used to adjust for inflation.</w:t>
      </w:r>
    </w:p>
  </w:footnote>
  <w:footnote w:id="14">
    <w:p w14:paraId="63289933" w14:textId="77777777" w:rsidR="00661DE4" w:rsidRDefault="00661DE4" w:rsidP="00661DE4">
      <w:pPr>
        <w:pStyle w:val="FootnoteText"/>
        <w:rPr>
          <w:lang w:val="en-US"/>
        </w:rPr>
      </w:pPr>
      <w:r>
        <w:rPr>
          <w:rStyle w:val="FootnoteReference"/>
        </w:rPr>
        <w:footnoteRef/>
      </w:r>
      <w:r>
        <w:t xml:space="preserve"> </w:t>
      </w:r>
      <w:r>
        <w:rPr>
          <w:lang w:val="en-US"/>
        </w:rPr>
        <w:t>Hare, S. (2015) Study of Gambling abd Health in Victoria, Victoria, Australia: Victorian Responsible Gambling Foundation and Vicotrian Department of Justice and Regulation.</w:t>
      </w:r>
    </w:p>
  </w:footnote>
  <w:footnote w:id="15">
    <w:p w14:paraId="278A2234" w14:textId="77777777" w:rsidR="00661DE4" w:rsidRDefault="00661DE4" w:rsidP="00661DE4">
      <w:pPr>
        <w:pStyle w:val="FootnoteText"/>
      </w:pPr>
      <w:r>
        <w:rPr>
          <w:rStyle w:val="FootnoteReference"/>
        </w:rPr>
        <w:footnoteRef/>
      </w:r>
      <w:r>
        <w:t xml:space="preserve"> Sally Gainsbury, Alex Russell, Nerilee Hing, Robert Wood, Dan Lubman, Alex Blaszczynski (2013). ‘How the internet is changing gambling: findings from an Australian prevalence survey’ Journal of Gambling Studies.</w:t>
      </w:r>
    </w:p>
  </w:footnote>
  <w:footnote w:id="16">
    <w:p w14:paraId="794EF536" w14:textId="77777777" w:rsidR="00661DE4" w:rsidRDefault="00661DE4" w:rsidP="00661DE4">
      <w:pPr>
        <w:pStyle w:val="FootnoteText"/>
      </w:pPr>
      <w:r>
        <w:rPr>
          <w:rStyle w:val="FootnoteReference"/>
        </w:rPr>
        <w:footnoteRef/>
      </w:r>
      <w:r>
        <w:t xml:space="preserve"> Hare, S. (2015) Study of Gambling and Health in Victoria, Victoria, Australia: Victorian Responsible Gambling Foundation and Victorian Department of Justice and Regulation.</w:t>
      </w:r>
    </w:p>
  </w:footnote>
  <w:footnote w:id="17">
    <w:p w14:paraId="65220E07" w14:textId="77777777" w:rsidR="00661DE4" w:rsidRDefault="00661DE4" w:rsidP="00661DE4">
      <w:pPr>
        <w:pStyle w:val="FootnoteText"/>
      </w:pPr>
      <w:r>
        <w:rPr>
          <w:rStyle w:val="FootnoteReference"/>
        </w:rPr>
        <w:footnoteRef/>
      </w:r>
      <w:r>
        <w:t xml:space="preserve"> William Hill PLC, Annual Report and Accounts 2016, pg. 28</w:t>
      </w:r>
    </w:p>
  </w:footnote>
  <w:footnote w:id="18">
    <w:p w14:paraId="668114A8" w14:textId="77777777" w:rsidR="00661DE4" w:rsidRDefault="00661DE4" w:rsidP="00661DE4">
      <w:pPr>
        <w:pStyle w:val="FootnoteText"/>
      </w:pPr>
      <w:r>
        <w:rPr>
          <w:rStyle w:val="FootnoteReference"/>
        </w:rPr>
        <w:footnoteRef/>
      </w:r>
      <w:r>
        <w:t xml:space="preserve"> Tabcorp concise Annual Report 2015, pg. 2</w:t>
      </w:r>
    </w:p>
  </w:footnote>
  <w:footnote w:id="19">
    <w:p w14:paraId="01026360" w14:textId="77777777" w:rsidR="00661DE4" w:rsidRDefault="00661DE4" w:rsidP="00661DE4">
      <w:pPr>
        <w:pStyle w:val="FootnoteText"/>
      </w:pPr>
      <w:r>
        <w:rPr>
          <w:rStyle w:val="FootnoteReference"/>
        </w:rPr>
        <w:footnoteRef/>
      </w:r>
      <w:r>
        <w:t xml:space="preserve"> Ibid, pg.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518500"/>
      <w:docPartObj>
        <w:docPartGallery w:val="Watermarks"/>
        <w:docPartUnique/>
      </w:docPartObj>
    </w:sdtPr>
    <w:sdtEndPr/>
    <w:sdtContent>
      <w:p w14:paraId="531145E2" w14:textId="77777777" w:rsidR="00661DE4" w:rsidRDefault="001D711E">
        <w:pPr>
          <w:pStyle w:val="Header"/>
        </w:pPr>
        <w:r>
          <w:rPr>
            <w:noProof/>
          </w:rPr>
          <w:pict w14:anchorId="342551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866549"/>
      <w:docPartObj>
        <w:docPartGallery w:val="Watermarks"/>
        <w:docPartUnique/>
      </w:docPartObj>
    </w:sdtPr>
    <w:sdtEndPr/>
    <w:sdtContent>
      <w:p w14:paraId="6A9B0706" w14:textId="77777777" w:rsidR="00661DE4" w:rsidRDefault="00661DE4">
        <w:pPr>
          <w:pStyle w:val="Header"/>
        </w:pPr>
        <w:r>
          <w:rPr>
            <w:noProof/>
          </w:rPr>
          <mc:AlternateContent>
            <mc:Choice Requires="wps">
              <w:drawing>
                <wp:anchor distT="0" distB="0" distL="114300" distR="114300" simplePos="0" relativeHeight="251657216" behindDoc="1" locked="0" layoutInCell="0" allowOverlap="1" wp14:anchorId="16AB77B2" wp14:editId="4B1BA0E9">
                  <wp:simplePos x="0" y="0"/>
                  <wp:positionH relativeFrom="margin">
                    <wp:align>center</wp:align>
                  </wp:positionH>
                  <wp:positionV relativeFrom="margin">
                    <wp:align>center</wp:align>
                  </wp:positionV>
                  <wp:extent cx="5237480" cy="3142615"/>
                  <wp:effectExtent l="0" t="1143000" r="0" b="65786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AF52A7" w14:textId="77777777" w:rsidR="00661DE4" w:rsidRDefault="00661DE4" w:rsidP="00661DE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AB77B2" id="_x0000_t202" coordsize="21600,21600" o:spt="202" path="m,l,21600r21600,l21600,xe">
                  <v:stroke joinstyle="miter"/>
                  <v:path gradientshapeok="t" o:connecttype="rect"/>
                </v:shapetype>
                <v:shape id="WordArt 2" o:spid="_x0000_s1028"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2S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gER9&#10;koYCAAD8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14:paraId="6BAF52A7" w14:textId="77777777" w:rsidR="00661DE4" w:rsidRDefault="00661DE4" w:rsidP="00661DE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0F65E" w14:textId="77777777" w:rsidR="00661DE4" w:rsidRDefault="00661D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0DBF3" w14:textId="77777777" w:rsidR="00661DE4" w:rsidRDefault="00661D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71E22" w14:textId="77777777" w:rsidR="00661DE4" w:rsidRDefault="00661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62E36"/>
    <w:multiLevelType w:val="hybridMultilevel"/>
    <w:tmpl w:val="1C80A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084E60"/>
    <w:multiLevelType w:val="hybridMultilevel"/>
    <w:tmpl w:val="AC7A46B2"/>
    <w:lvl w:ilvl="0" w:tplc="0C090001">
      <w:start w:val="1"/>
      <w:numFmt w:val="bullet"/>
      <w:lvlText w:val=""/>
      <w:lvlJc w:val="left"/>
      <w:pPr>
        <w:ind w:left="1777" w:hanging="360"/>
      </w:pPr>
      <w:rPr>
        <w:rFonts w:ascii="Symbol" w:hAnsi="Symbol" w:hint="default"/>
      </w:rPr>
    </w:lvl>
    <w:lvl w:ilvl="1" w:tplc="0C090003" w:tentative="1">
      <w:start w:val="1"/>
      <w:numFmt w:val="bullet"/>
      <w:lvlText w:val="o"/>
      <w:lvlJc w:val="left"/>
      <w:pPr>
        <w:ind w:left="2497" w:hanging="360"/>
      </w:pPr>
      <w:rPr>
        <w:rFonts w:ascii="Courier New" w:hAnsi="Courier New" w:cs="Courier New" w:hint="default"/>
      </w:rPr>
    </w:lvl>
    <w:lvl w:ilvl="2" w:tplc="0C090005" w:tentative="1">
      <w:start w:val="1"/>
      <w:numFmt w:val="bullet"/>
      <w:lvlText w:val=""/>
      <w:lvlJc w:val="left"/>
      <w:pPr>
        <w:ind w:left="3217" w:hanging="360"/>
      </w:pPr>
      <w:rPr>
        <w:rFonts w:ascii="Wingdings" w:hAnsi="Wingdings" w:hint="default"/>
      </w:rPr>
    </w:lvl>
    <w:lvl w:ilvl="3" w:tplc="0C090001" w:tentative="1">
      <w:start w:val="1"/>
      <w:numFmt w:val="bullet"/>
      <w:lvlText w:val=""/>
      <w:lvlJc w:val="left"/>
      <w:pPr>
        <w:ind w:left="3937" w:hanging="360"/>
      </w:pPr>
      <w:rPr>
        <w:rFonts w:ascii="Symbol" w:hAnsi="Symbol" w:hint="default"/>
      </w:rPr>
    </w:lvl>
    <w:lvl w:ilvl="4" w:tplc="0C090003" w:tentative="1">
      <w:start w:val="1"/>
      <w:numFmt w:val="bullet"/>
      <w:lvlText w:val="o"/>
      <w:lvlJc w:val="left"/>
      <w:pPr>
        <w:ind w:left="4657" w:hanging="360"/>
      </w:pPr>
      <w:rPr>
        <w:rFonts w:ascii="Courier New" w:hAnsi="Courier New" w:cs="Courier New" w:hint="default"/>
      </w:rPr>
    </w:lvl>
    <w:lvl w:ilvl="5" w:tplc="0C090005" w:tentative="1">
      <w:start w:val="1"/>
      <w:numFmt w:val="bullet"/>
      <w:lvlText w:val=""/>
      <w:lvlJc w:val="left"/>
      <w:pPr>
        <w:ind w:left="5377" w:hanging="360"/>
      </w:pPr>
      <w:rPr>
        <w:rFonts w:ascii="Wingdings" w:hAnsi="Wingdings" w:hint="default"/>
      </w:rPr>
    </w:lvl>
    <w:lvl w:ilvl="6" w:tplc="0C090001" w:tentative="1">
      <w:start w:val="1"/>
      <w:numFmt w:val="bullet"/>
      <w:lvlText w:val=""/>
      <w:lvlJc w:val="left"/>
      <w:pPr>
        <w:ind w:left="6097" w:hanging="360"/>
      </w:pPr>
      <w:rPr>
        <w:rFonts w:ascii="Symbol" w:hAnsi="Symbol" w:hint="default"/>
      </w:rPr>
    </w:lvl>
    <w:lvl w:ilvl="7" w:tplc="0C090003" w:tentative="1">
      <w:start w:val="1"/>
      <w:numFmt w:val="bullet"/>
      <w:lvlText w:val="o"/>
      <w:lvlJc w:val="left"/>
      <w:pPr>
        <w:ind w:left="6817" w:hanging="360"/>
      </w:pPr>
      <w:rPr>
        <w:rFonts w:ascii="Courier New" w:hAnsi="Courier New" w:cs="Courier New" w:hint="default"/>
      </w:rPr>
    </w:lvl>
    <w:lvl w:ilvl="8" w:tplc="0C090005" w:tentative="1">
      <w:start w:val="1"/>
      <w:numFmt w:val="bullet"/>
      <w:lvlText w:val=""/>
      <w:lvlJc w:val="left"/>
      <w:pPr>
        <w:ind w:left="7537" w:hanging="360"/>
      </w:pPr>
      <w:rPr>
        <w:rFonts w:ascii="Wingdings" w:hAnsi="Wingdings" w:hint="default"/>
      </w:rPr>
    </w:lvl>
  </w:abstractNum>
  <w:abstractNum w:abstractNumId="2" w15:restartNumberingAfterBreak="0">
    <w:nsid w:val="1EF0085C"/>
    <w:multiLevelType w:val="multilevel"/>
    <w:tmpl w:val="352AF260"/>
    <w:lvl w:ilvl="0">
      <w:start w:val="1"/>
      <w:numFmt w:val="decimal"/>
      <w:lvlText w:val="%1."/>
      <w:lvlJc w:val="left"/>
      <w:pPr>
        <w:ind w:left="720" w:hanging="360"/>
      </w:pPr>
    </w:lvl>
    <w:lvl w:ilvl="1">
      <w:start w:val="3"/>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B7A2661"/>
    <w:multiLevelType w:val="hybridMultilevel"/>
    <w:tmpl w:val="C6C65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7A06A4"/>
    <w:multiLevelType w:val="hybridMultilevel"/>
    <w:tmpl w:val="E4A42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AB32F1"/>
    <w:multiLevelType w:val="hybridMultilevel"/>
    <w:tmpl w:val="0E2631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0D32EE4"/>
    <w:multiLevelType w:val="hybridMultilevel"/>
    <w:tmpl w:val="403A7076"/>
    <w:lvl w:ilvl="0" w:tplc="3990B95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A27F19"/>
    <w:multiLevelType w:val="hybridMultilevel"/>
    <w:tmpl w:val="508A3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5F3160"/>
    <w:multiLevelType w:val="multilevel"/>
    <w:tmpl w:val="DE9E18E2"/>
    <w:lvl w:ilvl="0">
      <w:start w:val="10"/>
      <w:numFmt w:val="decimal"/>
      <w:lvlText w:val="%1"/>
      <w:lvlJc w:val="left"/>
      <w:pPr>
        <w:ind w:left="394" w:hanging="394"/>
      </w:pPr>
      <w:rPr>
        <w:rFonts w:hint="default"/>
      </w:rPr>
    </w:lvl>
    <w:lvl w:ilvl="1">
      <w:start w:val="1"/>
      <w:numFmt w:val="decimal"/>
      <w:lvlText w:val="%1.%2"/>
      <w:lvlJc w:val="left"/>
      <w:pPr>
        <w:ind w:left="394" w:hanging="39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E874D89"/>
    <w:multiLevelType w:val="hybridMultilevel"/>
    <w:tmpl w:val="3BD4A5C2"/>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0" w15:restartNumberingAfterBreak="0">
    <w:nsid w:val="53344BB4"/>
    <w:multiLevelType w:val="hybridMultilevel"/>
    <w:tmpl w:val="F750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BF074C"/>
    <w:multiLevelType w:val="hybridMultilevel"/>
    <w:tmpl w:val="5A748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9E2EDB"/>
    <w:multiLevelType w:val="multilevel"/>
    <w:tmpl w:val="7C64A46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85258AE"/>
    <w:multiLevelType w:val="hybridMultilevel"/>
    <w:tmpl w:val="CCF8C9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C746E3F"/>
    <w:multiLevelType w:val="hybridMultilevel"/>
    <w:tmpl w:val="72046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CC74A2E"/>
    <w:multiLevelType w:val="hybridMultilevel"/>
    <w:tmpl w:val="AE4C49F6"/>
    <w:lvl w:ilvl="0" w:tplc="51742352">
      <w:start w:val="21"/>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D0B0E8F"/>
    <w:multiLevelType w:val="multilevel"/>
    <w:tmpl w:val="604245FE"/>
    <w:lvl w:ilvl="0">
      <w:start w:val="1"/>
      <w:numFmt w:val="bullet"/>
      <w:lvlText w:val=""/>
      <w:lvlJc w:val="left"/>
      <w:pPr>
        <w:ind w:left="-263" w:hanging="360"/>
      </w:pPr>
      <w:rPr>
        <w:rFonts w:ascii="Symbol" w:hAnsi="Symbol" w:hint="default"/>
      </w:rPr>
    </w:lvl>
    <w:lvl w:ilvl="1">
      <w:start w:val="1"/>
      <w:numFmt w:val="bullet"/>
      <w:lvlText w:val=""/>
      <w:lvlJc w:val="left"/>
      <w:pPr>
        <w:ind w:left="-263" w:hanging="360"/>
      </w:pPr>
      <w:rPr>
        <w:rFonts w:ascii="Symbol" w:hAnsi="Symbol" w:hint="default"/>
      </w:rPr>
    </w:lvl>
    <w:lvl w:ilvl="2">
      <w:start w:val="1"/>
      <w:numFmt w:val="decimal"/>
      <w:isLgl/>
      <w:lvlText w:val="%1.%2.%3"/>
      <w:lvlJc w:val="left"/>
      <w:pPr>
        <w:ind w:left="97" w:hanging="720"/>
      </w:pPr>
      <w:rPr>
        <w:rFonts w:hint="default"/>
      </w:rPr>
    </w:lvl>
    <w:lvl w:ilvl="3">
      <w:start w:val="1"/>
      <w:numFmt w:val="decimal"/>
      <w:isLgl/>
      <w:lvlText w:val="%1.%2.%3.%4"/>
      <w:lvlJc w:val="left"/>
      <w:pPr>
        <w:ind w:left="97" w:hanging="720"/>
      </w:pPr>
      <w:rPr>
        <w:rFonts w:hint="default"/>
      </w:rPr>
    </w:lvl>
    <w:lvl w:ilvl="4">
      <w:start w:val="1"/>
      <w:numFmt w:val="decimal"/>
      <w:isLgl/>
      <w:lvlText w:val="%1.%2.%3.%4.%5"/>
      <w:lvlJc w:val="left"/>
      <w:pPr>
        <w:ind w:left="97" w:hanging="720"/>
      </w:pPr>
      <w:rPr>
        <w:rFonts w:hint="default"/>
      </w:rPr>
    </w:lvl>
    <w:lvl w:ilvl="5">
      <w:start w:val="1"/>
      <w:numFmt w:val="decimal"/>
      <w:isLgl/>
      <w:lvlText w:val="%1.%2.%3.%4.%5.%6"/>
      <w:lvlJc w:val="left"/>
      <w:pPr>
        <w:ind w:left="457" w:hanging="1080"/>
      </w:pPr>
      <w:rPr>
        <w:rFonts w:hint="default"/>
      </w:rPr>
    </w:lvl>
    <w:lvl w:ilvl="6">
      <w:start w:val="1"/>
      <w:numFmt w:val="decimal"/>
      <w:isLgl/>
      <w:lvlText w:val="%1.%2.%3.%4.%5.%6.%7"/>
      <w:lvlJc w:val="left"/>
      <w:pPr>
        <w:ind w:left="457" w:hanging="1080"/>
      </w:pPr>
      <w:rPr>
        <w:rFonts w:hint="default"/>
      </w:rPr>
    </w:lvl>
    <w:lvl w:ilvl="7">
      <w:start w:val="1"/>
      <w:numFmt w:val="decimal"/>
      <w:isLgl/>
      <w:lvlText w:val="%1.%2.%3.%4.%5.%6.%7.%8"/>
      <w:lvlJc w:val="left"/>
      <w:pPr>
        <w:ind w:left="817" w:hanging="1440"/>
      </w:pPr>
      <w:rPr>
        <w:rFonts w:hint="default"/>
      </w:rPr>
    </w:lvl>
    <w:lvl w:ilvl="8">
      <w:start w:val="1"/>
      <w:numFmt w:val="decimal"/>
      <w:isLgl/>
      <w:lvlText w:val="%1.%2.%3.%4.%5.%6.%7.%8.%9"/>
      <w:lvlJc w:val="left"/>
      <w:pPr>
        <w:ind w:left="817" w:hanging="1440"/>
      </w:pPr>
      <w:rPr>
        <w:rFonts w:hint="default"/>
      </w:rPr>
    </w:lvl>
  </w:abstractNum>
  <w:abstractNum w:abstractNumId="17" w15:restartNumberingAfterBreak="0">
    <w:nsid w:val="7829072A"/>
    <w:multiLevelType w:val="multilevel"/>
    <w:tmpl w:val="71289E1C"/>
    <w:lvl w:ilvl="0">
      <w:start w:val="10"/>
      <w:numFmt w:val="decimal"/>
      <w:lvlText w:val="%1"/>
      <w:lvlJc w:val="left"/>
      <w:pPr>
        <w:ind w:left="420" w:hanging="420"/>
      </w:pPr>
      <w:rPr>
        <w:rFonts w:hint="default"/>
      </w:rPr>
    </w:lvl>
    <w:lvl w:ilvl="1">
      <w:start w:val="1"/>
      <w:numFmt w:val="bullet"/>
      <w:lvlText w:val=""/>
      <w:lvlJc w:val="left"/>
      <w:pPr>
        <w:ind w:left="420" w:hanging="4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8B637BF"/>
    <w:multiLevelType w:val="hybridMultilevel"/>
    <w:tmpl w:val="BC5EE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9D5F6A"/>
    <w:multiLevelType w:val="multilevel"/>
    <w:tmpl w:val="AFE8E834"/>
    <w:lvl w:ilvl="0">
      <w:start w:val="1"/>
      <w:numFmt w:val="decimal"/>
      <w:lvlText w:val="%1."/>
      <w:lvlJc w:val="left"/>
      <w:pPr>
        <w:ind w:left="720" w:hanging="720"/>
      </w:pPr>
      <w:rPr>
        <w:rFonts w:asciiTheme="minorHAnsi" w:eastAsiaTheme="minorHAnsi" w:hAnsiTheme="minorHAnsi" w:cstheme="minorHAnsi"/>
        <w:b w:val="0"/>
        <w:color w:val="auto"/>
        <w:sz w:val="22"/>
        <w:szCs w:val="22"/>
      </w:rPr>
    </w:lvl>
    <w:lvl w:ilvl="1">
      <w:start w:val="1"/>
      <w:numFmt w:val="decimal"/>
      <w:isLgl/>
      <w:lvlText w:val="%1.%2"/>
      <w:lvlJc w:val="left"/>
      <w:pPr>
        <w:ind w:left="720" w:hanging="720"/>
      </w:pPr>
      <w:rPr>
        <w:rFonts w:cs="Calibri Light (Heading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7AA8495F"/>
    <w:multiLevelType w:val="hybridMultilevel"/>
    <w:tmpl w:val="28247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C13B29"/>
    <w:multiLevelType w:val="hybridMultilevel"/>
    <w:tmpl w:val="2730E7C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822EACB4">
      <w:numFmt w:val="bullet"/>
      <w:lvlText w:val="-"/>
      <w:lvlJc w:val="left"/>
      <w:pPr>
        <w:ind w:left="2160" w:hanging="360"/>
      </w:pPr>
      <w:rPr>
        <w:rFonts w:ascii="Calibri" w:eastAsiaTheme="minorHAnsi" w:hAnsi="Calibri" w:cstheme="minorBidi"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9C5470"/>
    <w:multiLevelType w:val="hybridMultilevel"/>
    <w:tmpl w:val="167837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2"/>
  </w:num>
  <w:num w:numId="4">
    <w:abstractNumId w:val="16"/>
  </w:num>
  <w:num w:numId="5">
    <w:abstractNumId w:val="4"/>
  </w:num>
  <w:num w:numId="6">
    <w:abstractNumId w:val="0"/>
  </w:num>
  <w:num w:numId="7">
    <w:abstractNumId w:val="14"/>
  </w:num>
  <w:num w:numId="8">
    <w:abstractNumId w:val="5"/>
  </w:num>
  <w:num w:numId="9">
    <w:abstractNumId w:val="15"/>
  </w:num>
  <w:num w:numId="10">
    <w:abstractNumId w:val="18"/>
  </w:num>
  <w:num w:numId="11">
    <w:abstractNumId w:val="6"/>
  </w:num>
  <w:num w:numId="12">
    <w:abstractNumId w:val="7"/>
  </w:num>
  <w:num w:numId="13">
    <w:abstractNumId w:val="21"/>
  </w:num>
  <w:num w:numId="14">
    <w:abstractNumId w:val="10"/>
  </w:num>
  <w:num w:numId="15">
    <w:abstractNumId w:val="19"/>
  </w:num>
  <w:num w:numId="16">
    <w:abstractNumId w:val="17"/>
  </w:num>
  <w:num w:numId="17">
    <w:abstractNumId w:val="12"/>
  </w:num>
  <w:num w:numId="18">
    <w:abstractNumId w:val="11"/>
  </w:num>
  <w:num w:numId="19">
    <w:abstractNumId w:val="9"/>
  </w:num>
  <w:num w:numId="20">
    <w:abstractNumId w:val="8"/>
  </w:num>
  <w:num w:numId="21">
    <w:abstractNumId w:val="3"/>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E4"/>
    <w:rsid w:val="001D711E"/>
    <w:rsid w:val="005862F2"/>
    <w:rsid w:val="005C2595"/>
    <w:rsid w:val="00604539"/>
    <w:rsid w:val="006135B4"/>
    <w:rsid w:val="00661DE4"/>
    <w:rsid w:val="007453D9"/>
    <w:rsid w:val="007C490A"/>
    <w:rsid w:val="008E5920"/>
    <w:rsid w:val="00900C7F"/>
    <w:rsid w:val="009E4461"/>
    <w:rsid w:val="00B30674"/>
    <w:rsid w:val="00BF497D"/>
    <w:rsid w:val="00C22E6A"/>
    <w:rsid w:val="00D80EF2"/>
    <w:rsid w:val="00ED2C0A"/>
    <w:rsid w:val="00EF66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53ADB7"/>
  <w15:docId w15:val="{94BE18E2-D911-4E13-8902-EC6CD0C6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1D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61DE4"/>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61D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DE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61DE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61DE4"/>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9E4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461"/>
  </w:style>
  <w:style w:type="paragraph" w:styleId="Footer">
    <w:name w:val="footer"/>
    <w:basedOn w:val="Normal"/>
    <w:link w:val="FooterChar"/>
    <w:uiPriority w:val="99"/>
    <w:unhideWhenUsed/>
    <w:rsid w:val="009E4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461"/>
  </w:style>
  <w:style w:type="paragraph" w:styleId="NoSpacing">
    <w:name w:val="No Spacing"/>
    <w:link w:val="NoSpacingChar"/>
    <w:uiPriority w:val="1"/>
    <w:qFormat/>
    <w:rsid w:val="009E44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4461"/>
    <w:rPr>
      <w:rFonts w:eastAsiaTheme="minorEastAsia"/>
      <w:lang w:val="en-US" w:eastAsia="ja-JP"/>
    </w:rPr>
  </w:style>
  <w:style w:type="paragraph" w:styleId="BalloonText">
    <w:name w:val="Balloon Text"/>
    <w:basedOn w:val="Normal"/>
    <w:link w:val="BalloonTextChar"/>
    <w:uiPriority w:val="99"/>
    <w:semiHidden/>
    <w:unhideWhenUsed/>
    <w:rsid w:val="009E4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61"/>
    <w:rPr>
      <w:rFonts w:ascii="Tahoma" w:hAnsi="Tahoma" w:cs="Tahoma"/>
      <w:sz w:val="16"/>
      <w:szCs w:val="16"/>
    </w:rPr>
  </w:style>
  <w:style w:type="paragraph" w:styleId="ListParagraph">
    <w:name w:val="List Paragraph"/>
    <w:basedOn w:val="Normal"/>
    <w:link w:val="ListParagraphChar"/>
    <w:uiPriority w:val="34"/>
    <w:qFormat/>
    <w:rsid w:val="00661DE4"/>
    <w:pPr>
      <w:spacing w:after="160" w:line="259" w:lineRule="auto"/>
      <w:ind w:left="720"/>
      <w:contextualSpacing/>
    </w:pPr>
  </w:style>
  <w:style w:type="character" w:customStyle="1" w:styleId="ListParagraphChar">
    <w:name w:val="List Paragraph Char"/>
    <w:basedOn w:val="DefaultParagraphFont"/>
    <w:link w:val="ListParagraph"/>
    <w:uiPriority w:val="34"/>
    <w:rsid w:val="00661DE4"/>
  </w:style>
  <w:style w:type="paragraph" w:customStyle="1" w:styleId="Default">
    <w:name w:val="Default"/>
    <w:rsid w:val="00661DE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61DE4"/>
    <w:rPr>
      <w:color w:val="0000FF" w:themeColor="hyperlink"/>
      <w:u w:val="single"/>
    </w:rPr>
  </w:style>
  <w:style w:type="paragraph" w:styleId="FootnoteText">
    <w:name w:val="footnote text"/>
    <w:basedOn w:val="Normal"/>
    <w:link w:val="FootnoteTextChar"/>
    <w:uiPriority w:val="99"/>
    <w:unhideWhenUsed/>
    <w:rsid w:val="00661DE4"/>
    <w:pPr>
      <w:spacing w:after="0" w:line="240" w:lineRule="auto"/>
    </w:pPr>
    <w:rPr>
      <w:sz w:val="20"/>
      <w:szCs w:val="20"/>
    </w:rPr>
  </w:style>
  <w:style w:type="character" w:customStyle="1" w:styleId="FootnoteTextChar">
    <w:name w:val="Footnote Text Char"/>
    <w:basedOn w:val="DefaultParagraphFont"/>
    <w:link w:val="FootnoteText"/>
    <w:uiPriority w:val="99"/>
    <w:rsid w:val="00661DE4"/>
    <w:rPr>
      <w:sz w:val="20"/>
      <w:szCs w:val="20"/>
    </w:rPr>
  </w:style>
  <w:style w:type="character" w:styleId="FootnoteReference">
    <w:name w:val="footnote reference"/>
    <w:basedOn w:val="DefaultParagraphFont"/>
    <w:uiPriority w:val="99"/>
    <w:unhideWhenUsed/>
    <w:rsid w:val="00661DE4"/>
    <w:rPr>
      <w:vertAlign w:val="superscript"/>
    </w:rPr>
  </w:style>
  <w:style w:type="table" w:styleId="TableGrid">
    <w:name w:val="Table Grid"/>
    <w:basedOn w:val="TableNormal"/>
    <w:uiPriority w:val="59"/>
    <w:rsid w:val="00661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661DE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iPriority w:val="35"/>
    <w:unhideWhenUsed/>
    <w:qFormat/>
    <w:rsid w:val="00661DE4"/>
    <w:pPr>
      <w:spacing w:line="240" w:lineRule="auto"/>
    </w:pPr>
    <w:rPr>
      <w:rFonts w:eastAsiaTheme="minorEastAsia"/>
      <w:b/>
      <w:bCs/>
      <w:sz w:val="24"/>
      <w:szCs w:val="18"/>
      <w:lang w:eastAsia="en-AU"/>
    </w:rPr>
  </w:style>
  <w:style w:type="table" w:customStyle="1" w:styleId="TableGrid1">
    <w:name w:val="Table Grid1"/>
    <w:basedOn w:val="TableNormal"/>
    <w:next w:val="TableGrid"/>
    <w:uiPriority w:val="59"/>
    <w:rsid w:val="00661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61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61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61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61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661D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51">
    <w:name w:val="Grid Table 5 Dark - Accent 51"/>
    <w:basedOn w:val="TableNormal"/>
    <w:uiPriority w:val="50"/>
    <w:rsid w:val="00661D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EndnoteTextChar">
    <w:name w:val="Endnote Text Char"/>
    <w:basedOn w:val="DefaultParagraphFont"/>
    <w:link w:val="EndnoteText"/>
    <w:uiPriority w:val="99"/>
    <w:semiHidden/>
    <w:rsid w:val="00661DE4"/>
    <w:rPr>
      <w:sz w:val="20"/>
      <w:szCs w:val="20"/>
    </w:rPr>
  </w:style>
  <w:style w:type="paragraph" w:styleId="EndnoteText">
    <w:name w:val="endnote text"/>
    <w:basedOn w:val="Normal"/>
    <w:link w:val="EndnoteTextChar"/>
    <w:uiPriority w:val="99"/>
    <w:semiHidden/>
    <w:unhideWhenUsed/>
    <w:rsid w:val="00661DE4"/>
    <w:pPr>
      <w:spacing w:after="0" w:line="240" w:lineRule="auto"/>
    </w:pPr>
    <w:rPr>
      <w:sz w:val="20"/>
      <w:szCs w:val="20"/>
    </w:rPr>
  </w:style>
  <w:style w:type="table" w:customStyle="1" w:styleId="TableGrid6">
    <w:name w:val="Table Grid6"/>
    <w:basedOn w:val="TableNormal"/>
    <w:next w:val="TableGrid"/>
    <w:uiPriority w:val="59"/>
    <w:rsid w:val="00661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661DE4"/>
    <w:pPr>
      <w:spacing w:after="0" w:line="240" w:lineRule="auto"/>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661DE4"/>
    <w:rPr>
      <w:rFonts w:ascii="Times New Roman" w:eastAsia="Times New Roman" w:hAnsi="Times New Roman" w:cs="Times New Roman"/>
      <w:szCs w:val="20"/>
    </w:rPr>
  </w:style>
  <w:style w:type="table" w:styleId="GridTable4-Accent1">
    <w:name w:val="Grid Table 4 Accent 1"/>
    <w:basedOn w:val="TableNormal"/>
    <w:uiPriority w:val="49"/>
    <w:rsid w:val="00661DE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661DE4"/>
    <w:pPr>
      <w:spacing w:before="100" w:beforeAutospacing="1" w:after="100" w:afterAutospacing="1" w:line="240" w:lineRule="auto"/>
    </w:pPr>
    <w:rPr>
      <w:rFonts w:ascii="Times New Roman" w:eastAsiaTheme="minorEastAsia" w:hAnsi="Times New Roman" w:cs="Times New Roman"/>
      <w:sz w:val="24"/>
      <w:szCs w:val="24"/>
      <w:lang w:eastAsia="en-AU"/>
    </w:rPr>
  </w:style>
  <w:style w:type="table" w:styleId="GridTable5Dark-Accent4">
    <w:name w:val="Grid Table 5 Dark Accent 4"/>
    <w:basedOn w:val="TableNormal"/>
    <w:uiPriority w:val="50"/>
    <w:rsid w:val="00661D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4-Accent4">
    <w:name w:val="Grid Table 4 Accent 4"/>
    <w:basedOn w:val="TableNormal"/>
    <w:uiPriority w:val="49"/>
    <w:rsid w:val="00EF66B8"/>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www.wyndham.vic.gov.au/about-council/wyndham-community/demographics-population-overview" TargetMode="External"/><Relationship Id="rId2" Type="http://schemas.openxmlformats.org/officeDocument/2006/relationships/hyperlink" Target="http://forecast.id.com.au/wyndham" TargetMode="External"/><Relationship Id="rId1" Type="http://schemas.openxmlformats.org/officeDocument/2006/relationships/hyperlink" Target="http://www.abs.gov.au/AUSSTATS/abs%40.nsf/Lookup/3218.0Main%2BFeatures12014-15?OpenDocument" TargetMode="External"/><Relationship Id="rId6" Type="http://schemas.openxmlformats.org/officeDocument/2006/relationships/hyperlink" Target="https://www.crimestatistics.vic.gov.au/crime-statistics/latest-crime-data/download-data-1" TargetMode="External"/><Relationship Id="rId5" Type="http://schemas.openxmlformats.org/officeDocument/2006/relationships/hyperlink" Target="https://www.wyndham.vic.gov.au/sites/default/files/2016-06/Area%20of%20Social%20Interest%20-%20Housing%20stress%20and%20homelessness%20%20-%2020160525.pdf" TargetMode="External"/><Relationship Id="rId4" Type="http://schemas.openxmlformats.org/officeDocument/2006/relationships/hyperlink" Target="http://economy.id.com.au/wyndham/unemploy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ity%20Life\Cover%20and%20Follower.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vkapke\objcache\vkapke\Objects\Leading%20Communities%20-%20SEIFA%202011%20IRSD%20-%20Analysis%20of%20Results%20by%20SA1%20and%20SA3%20-%20October%202014%20(A85183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'SA1 by SSC'!$D$52</c:f>
              <c:strCache>
                <c:ptCount val="1"/>
                <c:pt idx="0">
                  <c:v>Score</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'SA1 by SSC'!$B$53:$B$63</c:f>
              <c:strCache>
                <c:ptCount val="11"/>
                <c:pt idx="0">
                  <c:v>Laverton North</c:v>
                </c:pt>
                <c:pt idx="1">
                  <c:v>Werribee</c:v>
                </c:pt>
                <c:pt idx="2">
                  <c:v>Hoppers Crossing</c:v>
                </c:pt>
                <c:pt idx="3">
                  <c:v>Wyndham Vale</c:v>
                </c:pt>
                <c:pt idx="4">
                  <c:v>Mount Cottrell</c:v>
                </c:pt>
                <c:pt idx="5">
                  <c:v>Truganina</c:v>
                </c:pt>
                <c:pt idx="6">
                  <c:v>Werribee South</c:v>
                </c:pt>
                <c:pt idx="7">
                  <c:v>Tarneit</c:v>
                </c:pt>
                <c:pt idx="8">
                  <c:v>Little River (Vic.)</c:v>
                </c:pt>
                <c:pt idx="9">
                  <c:v>Williams Landing</c:v>
                </c:pt>
                <c:pt idx="10">
                  <c:v>Point Cook</c:v>
                </c:pt>
              </c:strCache>
            </c:strRef>
          </c:cat>
          <c:val>
            <c:numRef>
              <c:f>'SA1 by SSC'!$D$53:$D$63</c:f>
              <c:numCache>
                <c:formatCode>0</c:formatCode>
                <c:ptCount val="11"/>
                <c:pt idx="0">
                  <c:v>684.98333806000005</c:v>
                </c:pt>
                <c:pt idx="1">
                  <c:v>947.69794071000001</c:v>
                </c:pt>
                <c:pt idx="2">
                  <c:v>979.90094478000003</c:v>
                </c:pt>
                <c:pt idx="3">
                  <c:v>982.65525824999997</c:v>
                </c:pt>
                <c:pt idx="4">
                  <c:v>995.55765906999932</c:v>
                </c:pt>
                <c:pt idx="5">
                  <c:v>1003.0543632</c:v>
                </c:pt>
                <c:pt idx="6">
                  <c:v>1005.6660873</c:v>
                </c:pt>
                <c:pt idx="7">
                  <c:v>1023.195008</c:v>
                </c:pt>
                <c:pt idx="8">
                  <c:v>1025.8838195999999</c:v>
                </c:pt>
                <c:pt idx="9">
                  <c:v>1074.1666944999999</c:v>
                </c:pt>
                <c:pt idx="10">
                  <c:v>1105.9282241000001</c:v>
                </c:pt>
              </c:numCache>
            </c:numRef>
          </c:val>
          <c:extLst>
            <c:ext xmlns:c16="http://schemas.microsoft.com/office/drawing/2014/chart" uri="{C3380CC4-5D6E-409C-BE32-E72D297353CC}">
              <c16:uniqueId val="{00000000-06D9-45EE-BA31-923E7CA73130}"/>
            </c:ext>
          </c:extLst>
        </c:ser>
        <c:dLbls>
          <c:showLegendKey val="0"/>
          <c:showVal val="0"/>
          <c:showCatName val="0"/>
          <c:showSerName val="0"/>
          <c:showPercent val="0"/>
          <c:showBubbleSize val="0"/>
        </c:dLbls>
        <c:gapWidth val="150"/>
        <c:axId val="2118218872"/>
        <c:axId val="2125340760"/>
      </c:barChart>
      <c:barChart>
        <c:barDir val="col"/>
        <c:grouping val="clustered"/>
        <c:varyColors val="0"/>
        <c:ser>
          <c:idx val="1"/>
          <c:order val="1"/>
          <c:tx>
            <c:strRef>
              <c:f>'SA1 by SSC'!$F$52</c:f>
              <c:strCache>
                <c:ptCount val="1"/>
                <c:pt idx="0">
                  <c:v>Decile</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'SA1 by SSC'!$B$53:$B$63</c:f>
              <c:strCache>
                <c:ptCount val="11"/>
                <c:pt idx="0">
                  <c:v>Laverton North</c:v>
                </c:pt>
                <c:pt idx="1">
                  <c:v>Werribee</c:v>
                </c:pt>
                <c:pt idx="2">
                  <c:v>Hoppers Crossing</c:v>
                </c:pt>
                <c:pt idx="3">
                  <c:v>Wyndham Vale</c:v>
                </c:pt>
                <c:pt idx="4">
                  <c:v>Mount Cottrell</c:v>
                </c:pt>
                <c:pt idx="5">
                  <c:v>Truganina</c:v>
                </c:pt>
                <c:pt idx="6">
                  <c:v>Werribee South</c:v>
                </c:pt>
                <c:pt idx="7">
                  <c:v>Tarneit</c:v>
                </c:pt>
                <c:pt idx="8">
                  <c:v>Little River (Vic.)</c:v>
                </c:pt>
                <c:pt idx="9">
                  <c:v>Williams Landing</c:v>
                </c:pt>
                <c:pt idx="10">
                  <c:v>Point Cook</c:v>
                </c:pt>
              </c:strCache>
            </c:strRef>
          </c:cat>
          <c:val>
            <c:numRef>
              <c:f>'SA1 by SSC'!$F$53:$F$63</c:f>
              <c:numCache>
                <c:formatCode>General</c:formatCode>
                <c:ptCount val="11"/>
                <c:pt idx="0">
                  <c:v>1</c:v>
                </c:pt>
                <c:pt idx="1">
                  <c:v>3</c:v>
                </c:pt>
                <c:pt idx="2">
                  <c:v>5</c:v>
                </c:pt>
                <c:pt idx="3">
                  <c:v>5</c:v>
                </c:pt>
                <c:pt idx="4">
                  <c:v>5</c:v>
                </c:pt>
                <c:pt idx="5">
                  <c:v>6</c:v>
                </c:pt>
                <c:pt idx="6">
                  <c:v>6</c:v>
                </c:pt>
                <c:pt idx="7">
                  <c:v>7</c:v>
                </c:pt>
                <c:pt idx="8">
                  <c:v>7</c:v>
                </c:pt>
                <c:pt idx="9">
                  <c:v>9</c:v>
                </c:pt>
                <c:pt idx="10">
                  <c:v>10</c:v>
                </c:pt>
              </c:numCache>
            </c:numRef>
          </c:val>
          <c:extLst>
            <c:ext xmlns:c16="http://schemas.microsoft.com/office/drawing/2014/chart" uri="{C3380CC4-5D6E-409C-BE32-E72D297353CC}">
              <c16:uniqueId val="{00000001-06D9-45EE-BA31-923E7CA73130}"/>
            </c:ext>
          </c:extLst>
        </c:ser>
        <c:dLbls>
          <c:showLegendKey val="0"/>
          <c:showVal val="0"/>
          <c:showCatName val="0"/>
          <c:showSerName val="0"/>
          <c:showPercent val="0"/>
          <c:showBubbleSize val="0"/>
        </c:dLbls>
        <c:gapWidth val="500"/>
        <c:overlap val="-100"/>
        <c:axId val="2125286184"/>
        <c:axId val="2119066936"/>
      </c:barChart>
      <c:catAx>
        <c:axId val="2118218872"/>
        <c:scaling>
          <c:orientation val="minMax"/>
        </c:scaling>
        <c:delete val="0"/>
        <c:axPos val="b"/>
        <c:numFmt formatCode="General" sourceLinked="0"/>
        <c:majorTickMark val="out"/>
        <c:minorTickMark val="none"/>
        <c:tickLblPos val="nextTo"/>
        <c:crossAx val="2125340760"/>
        <c:crosses val="autoZero"/>
        <c:auto val="1"/>
        <c:lblAlgn val="ctr"/>
        <c:lblOffset val="100"/>
        <c:noMultiLvlLbl val="0"/>
      </c:catAx>
      <c:valAx>
        <c:axId val="2125340760"/>
        <c:scaling>
          <c:orientation val="minMax"/>
          <c:min val="500"/>
        </c:scaling>
        <c:delete val="0"/>
        <c:axPos val="l"/>
        <c:majorGridlines/>
        <c:numFmt formatCode="0" sourceLinked="1"/>
        <c:majorTickMark val="out"/>
        <c:minorTickMark val="none"/>
        <c:tickLblPos val="nextTo"/>
        <c:crossAx val="2118218872"/>
        <c:crosses val="autoZero"/>
        <c:crossBetween val="between"/>
      </c:valAx>
      <c:valAx>
        <c:axId val="2119066936"/>
        <c:scaling>
          <c:orientation val="minMax"/>
        </c:scaling>
        <c:delete val="0"/>
        <c:axPos val="r"/>
        <c:numFmt formatCode="General" sourceLinked="1"/>
        <c:majorTickMark val="out"/>
        <c:minorTickMark val="none"/>
        <c:tickLblPos val="nextTo"/>
        <c:crossAx val="2125286184"/>
        <c:crosses val="max"/>
        <c:crossBetween val="between"/>
      </c:valAx>
      <c:catAx>
        <c:axId val="2125286184"/>
        <c:scaling>
          <c:orientation val="minMax"/>
        </c:scaling>
        <c:delete val="1"/>
        <c:axPos val="b"/>
        <c:numFmt formatCode="General" sourceLinked="1"/>
        <c:majorTickMark val="out"/>
        <c:minorTickMark val="none"/>
        <c:tickLblPos val="nextTo"/>
        <c:crossAx val="2119066936"/>
        <c:crosses val="autoZero"/>
        <c:auto val="1"/>
        <c:lblAlgn val="ctr"/>
        <c:lblOffset val="100"/>
        <c:noMultiLvlLbl val="0"/>
      </c:catAx>
    </c:plotArea>
    <c:legend>
      <c:legendPos val="b"/>
      <c:overlay val="0"/>
    </c:legend>
    <c:plotVisOnly val="1"/>
    <c:dispBlanksAs val="gap"/>
    <c:showDLblsOverMax val="0"/>
  </c:chart>
  <c:txPr>
    <a:bodyPr/>
    <a:lstStyle/>
    <a:p>
      <a:pPr>
        <a:defRPr sz="700"/>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9E47A-C05C-49B5-A3AC-B98B1427A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and Follower</Template>
  <TotalTime>0</TotalTime>
  <Pages>37</Pages>
  <Words>9722</Words>
  <Characters>55417</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65009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Midolo</dc:creator>
  <cp:lastModifiedBy>Taryn Drewett</cp:lastModifiedBy>
  <cp:revision>2</cp:revision>
  <dcterms:created xsi:type="dcterms:W3CDTF">2018-03-05T23:13:00Z</dcterms:created>
  <dcterms:modified xsi:type="dcterms:W3CDTF">2018-03-05T23:13:00Z</dcterms:modified>
</cp:coreProperties>
</file>